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590A5" w14:textId="215CC561" w:rsidR="00147224" w:rsidRPr="00B93144" w:rsidRDefault="006B77FE" w:rsidP="00E513C9">
      <w:pPr>
        <w:keepNext/>
        <w:keepLines/>
        <w:spacing w:before="240" w:after="0"/>
        <w:ind w:left="360"/>
        <w:jc w:val="both"/>
        <w:outlineLvl w:val="0"/>
        <w:rPr>
          <w:rFonts w:asciiTheme="majorHAnsi" w:eastAsiaTheme="majorEastAsia" w:hAnsiTheme="majorHAnsi" w:cstheme="majorBidi"/>
          <w:b/>
          <w:bCs/>
          <w:sz w:val="32"/>
          <w:szCs w:val="32"/>
        </w:rPr>
      </w:pPr>
      <w:r w:rsidRPr="00B93144">
        <w:rPr>
          <w:rFonts w:asciiTheme="majorHAnsi" w:eastAsiaTheme="majorEastAsia" w:hAnsiTheme="majorHAnsi" w:cstheme="majorBidi"/>
          <w:b/>
          <w:bCs/>
          <w:sz w:val="32"/>
          <w:szCs w:val="32"/>
        </w:rPr>
        <w:t>Questions &amp; answers</w:t>
      </w:r>
      <w:r w:rsidR="00E513C9" w:rsidRPr="00B93144">
        <w:rPr>
          <w:rFonts w:asciiTheme="majorHAnsi" w:eastAsiaTheme="majorEastAsia" w:hAnsiTheme="majorHAnsi" w:cstheme="majorBidi"/>
          <w:b/>
          <w:bCs/>
          <w:sz w:val="32"/>
          <w:szCs w:val="32"/>
        </w:rPr>
        <w:t xml:space="preserve"> </w:t>
      </w:r>
      <w:r w:rsidR="00E513C9" w:rsidRPr="00B93144">
        <w:rPr>
          <w:rFonts w:asciiTheme="majorHAnsi" w:eastAsiaTheme="majorEastAsia" w:hAnsiTheme="majorHAnsi" w:cstheme="majorBidi"/>
          <w:b/>
          <w:bCs/>
          <w:sz w:val="32"/>
          <w:szCs w:val="32"/>
        </w:rPr>
        <w:tab/>
      </w:r>
      <w:r w:rsidR="00E513C9" w:rsidRPr="00B93144">
        <w:rPr>
          <w:rFonts w:asciiTheme="majorHAnsi" w:eastAsiaTheme="majorEastAsia" w:hAnsiTheme="majorHAnsi" w:cstheme="majorBidi"/>
          <w:b/>
          <w:bCs/>
          <w:sz w:val="32"/>
          <w:szCs w:val="32"/>
        </w:rPr>
        <w:br/>
      </w:r>
      <w:r w:rsidR="00E513C9" w:rsidRPr="00B93144">
        <w:rPr>
          <w:rFonts w:asciiTheme="majorHAnsi" w:eastAsiaTheme="majorEastAsia" w:hAnsiTheme="majorHAnsi" w:cstheme="majorBidi"/>
          <w:b/>
          <w:bCs/>
          <w:sz w:val="32"/>
          <w:szCs w:val="32"/>
        </w:rPr>
        <w:br/>
      </w:r>
    </w:p>
    <w:p w14:paraId="4D0263E1" w14:textId="77777777" w:rsidR="00E513C9" w:rsidRDefault="00E513C9" w:rsidP="00E513C9">
      <w:pPr>
        <w:keepNext/>
        <w:keepLines/>
        <w:spacing w:before="240" w:after="0"/>
        <w:ind w:left="360"/>
        <w:jc w:val="both"/>
        <w:outlineLvl w:val="0"/>
        <w:rPr>
          <w:rFonts w:asciiTheme="majorHAnsi" w:eastAsiaTheme="majorEastAsia" w:hAnsiTheme="majorHAnsi" w:cstheme="majorBidi"/>
          <w:sz w:val="32"/>
          <w:szCs w:val="32"/>
        </w:rPr>
        <w:sectPr w:rsidR="00E513C9" w:rsidSect="00E513C9">
          <w:type w:val="continuous"/>
          <w:pgSz w:w="11906" w:h="16838" w:code="9"/>
          <w:pgMar w:top="1440" w:right="1440" w:bottom="1440" w:left="1440" w:header="720" w:footer="720" w:gutter="0"/>
          <w:cols w:space="720"/>
          <w:docGrid w:linePitch="360"/>
        </w:sectPr>
      </w:pPr>
    </w:p>
    <w:p w14:paraId="3F3B886E" w14:textId="5D4F4493" w:rsidR="006B77FE" w:rsidRDefault="006B77FE" w:rsidP="006B77FE">
      <w:pPr>
        <w:pStyle w:val="CommentText"/>
        <w:jc w:val="both"/>
      </w:pPr>
      <w:r w:rsidRPr="006B77FE">
        <w:t xml:space="preserve">It is useful to address several frequently asked questions related to radiation quality. These questions often arise in professional discussions or during the peer-review process of scientific publications. Over time, they have become recurring themes in the field. The responses provided here are intended as informed contributions to the ongoing discourse. In some cases, they may reference or reiterate content already discussed in </w:t>
      </w:r>
      <w:r>
        <w:t xml:space="preserve">other </w:t>
      </w:r>
      <w:r w:rsidR="00F53649">
        <w:t>chapters</w:t>
      </w:r>
      <w:r w:rsidRPr="006B77FE">
        <w:t>.</w:t>
      </w:r>
      <w:r w:rsidR="00E513C9">
        <w:t xml:space="preserve"> </w:t>
      </w:r>
    </w:p>
    <w:p w14:paraId="6CE2089C" w14:textId="77777777" w:rsidR="00F53649" w:rsidRDefault="00F53649" w:rsidP="006B77FE">
      <w:pPr>
        <w:pStyle w:val="CommentText"/>
        <w:pBdr>
          <w:bottom w:val="single" w:sz="6" w:space="1" w:color="auto"/>
        </w:pBdr>
        <w:jc w:val="both"/>
        <w:rPr>
          <w:b/>
          <w:bCs/>
        </w:rPr>
      </w:pPr>
    </w:p>
    <w:p w14:paraId="5F40E391" w14:textId="30939A62" w:rsidR="006B77FE" w:rsidRPr="006B77FE" w:rsidRDefault="006B77FE" w:rsidP="006B77FE">
      <w:pPr>
        <w:pStyle w:val="CommentText"/>
        <w:jc w:val="both"/>
        <w:rPr>
          <w:b/>
          <w:bCs/>
        </w:rPr>
      </w:pPr>
      <w:r w:rsidRPr="006B77FE">
        <w:rPr>
          <w:b/>
          <w:bCs/>
        </w:rPr>
        <w:t>Q</w:t>
      </w:r>
      <w:r w:rsidR="00F53649">
        <w:rPr>
          <w:b/>
          <w:bCs/>
        </w:rPr>
        <w:t>1</w:t>
      </w:r>
      <w:r w:rsidRPr="006B77FE">
        <w:rPr>
          <w:b/>
          <w:bCs/>
        </w:rPr>
        <w:t>: Are Radiation Quality and Beam Quality Expressing the Same Concept?</w:t>
      </w:r>
    </w:p>
    <w:p w14:paraId="2635D6B6" w14:textId="45B554E1" w:rsidR="00F53649" w:rsidRPr="00F53649" w:rsidRDefault="006B77FE" w:rsidP="00F53649">
      <w:pPr>
        <w:jc w:val="both"/>
        <w:rPr>
          <w:sz w:val="20"/>
          <w:szCs w:val="20"/>
        </w:rPr>
      </w:pPr>
      <w:r w:rsidRPr="006B77FE">
        <w:rPr>
          <w:b/>
          <w:bCs/>
          <w:sz w:val="20"/>
          <w:szCs w:val="20"/>
        </w:rPr>
        <w:t>A</w:t>
      </w:r>
      <w:r w:rsidR="00F53649">
        <w:rPr>
          <w:b/>
          <w:bCs/>
          <w:sz w:val="20"/>
          <w:szCs w:val="20"/>
        </w:rPr>
        <w:t>1</w:t>
      </w:r>
      <w:r w:rsidRPr="006B77FE">
        <w:rPr>
          <w:b/>
          <w:bCs/>
          <w:sz w:val="20"/>
          <w:szCs w:val="20"/>
        </w:rPr>
        <w:t>: No.</w:t>
      </w:r>
      <w:r w:rsidRPr="006B77FE">
        <w:rPr>
          <w:sz w:val="20"/>
          <w:szCs w:val="20"/>
        </w:rPr>
        <w:t> </w:t>
      </w:r>
      <w:r w:rsidR="00F53649" w:rsidRPr="00F53649">
        <w:rPr>
          <w:sz w:val="20"/>
          <w:szCs w:val="20"/>
        </w:rPr>
        <w:t>Radiation quality and beam quality may appear similar in terminology, but they represent fundamentally different concepts. Although they are sometimes used interchangeably in literature, this overlap can lead to confusion, especially in clinical and scientific discussions.</w:t>
      </w:r>
    </w:p>
    <w:p w14:paraId="55CA3B60" w14:textId="1556313D" w:rsidR="00F53649" w:rsidRPr="00F53649" w:rsidRDefault="00F53649" w:rsidP="00F53649">
      <w:pPr>
        <w:jc w:val="both"/>
        <w:rPr>
          <w:sz w:val="20"/>
          <w:szCs w:val="20"/>
        </w:rPr>
      </w:pPr>
      <w:r w:rsidRPr="00F53649">
        <w:rPr>
          <w:sz w:val="20"/>
          <w:szCs w:val="20"/>
        </w:rPr>
        <w:t>Beam quality is a metrological concept designed to uniquely characterize a beam of ionizing radiation. Its primary purpose is to standardize dosimetric measurements, allowing for accurate calibration of dosimeters across different radiation sources. The quantification of beam quality relies on physical indicators such as dose profiles and absorption characteristics within a medium. Depending on the radiation type, different metrics are applied: for photon beams, exponential attenuation is measured; for electron beams, the half-value layer (HVL) is commonly used; and for ion beams, indices like R10—marking the depth at which the dose falls to 10% of the Bragg peak—are referenced. Even with beams that are not monoenergetic, indices based on dose fall-off, such as the 50% dose range, can still be defined. TRS 398</w:t>
      </w:r>
      <w:r w:rsidR="00713863">
        <w:rPr>
          <w:sz w:val="20"/>
          <w:szCs w:val="20"/>
        </w:rPr>
        <w:t>, which</w:t>
      </w:r>
      <w:r w:rsidRPr="00F53649">
        <w:rPr>
          <w:sz w:val="20"/>
          <w:szCs w:val="20"/>
        </w:rPr>
        <w:t xml:space="preserve"> continues to be a global standard for defining beam quality in radiation therapy, discourages the use of beam-quality indices in proton therapy and deems them impractical for carbon ion therapy due to complex fragmentation phenomena. These indices are non-stochastic because they emerge from predictable, deterministic dose distributions. The beam-quality correction factor, denoted as </w:t>
      </w:r>
      <w:proofErr w:type="spellStart"/>
      <w:r w:rsidRPr="00F53649">
        <w:rPr>
          <w:sz w:val="20"/>
          <w:szCs w:val="20"/>
        </w:rPr>
        <w:t>k</w:t>
      </w:r>
      <w:r w:rsidRPr="00F53649">
        <w:rPr>
          <w:sz w:val="20"/>
          <w:szCs w:val="20"/>
          <w:vertAlign w:val="subscript"/>
        </w:rPr>
        <w:t>Q,Q</w:t>
      </w:r>
      <w:proofErr w:type="spellEnd"/>
      <w:r w:rsidRPr="00F53649">
        <w:rPr>
          <w:sz w:val="20"/>
          <w:szCs w:val="20"/>
          <w:vertAlign w:val="subscript"/>
        </w:rPr>
        <w:t>₀</w:t>
      </w:r>
      <w:r w:rsidRPr="00F53649">
        <w:rPr>
          <w:sz w:val="20"/>
          <w:szCs w:val="20"/>
        </w:rPr>
        <w:t xml:space="preserve">, is used to adjust dosimeter readings based on this characterization. </w:t>
      </w:r>
      <w:r w:rsidRPr="00F53649">
        <w:rPr>
          <w:sz w:val="20"/>
          <w:szCs w:val="20"/>
        </w:rPr>
        <w:t>It’s important to note that this adjustment reflects beam quality alone—not radiation quality.</w:t>
      </w:r>
    </w:p>
    <w:p w14:paraId="2D915A0D" w14:textId="77777777" w:rsidR="00F53649" w:rsidRPr="00F53649" w:rsidRDefault="00F53649" w:rsidP="00F53649">
      <w:pPr>
        <w:jc w:val="both"/>
        <w:rPr>
          <w:sz w:val="20"/>
          <w:szCs w:val="20"/>
        </w:rPr>
      </w:pPr>
      <w:r w:rsidRPr="00F53649">
        <w:rPr>
          <w:sz w:val="20"/>
          <w:szCs w:val="20"/>
        </w:rPr>
        <w:t>Radiation quality, in contrast, pertains to the biological effectiveness of ionizing radiation. It emphasizes the impact on the target, especially in terms of biological responses such as cellular damage or the formation of lethal lesions. This concept plays a central role in fields like radiobiology, microdosimetry, and therapeutic efficacy, where understanding the biological consequences of radiation is critical.</w:t>
      </w:r>
    </w:p>
    <w:p w14:paraId="5AF8130A" w14:textId="50D13D6B" w:rsidR="00F53649" w:rsidRPr="00F53649" w:rsidRDefault="00F53649" w:rsidP="00F53649">
      <w:pPr>
        <w:jc w:val="both"/>
        <w:rPr>
          <w:sz w:val="20"/>
          <w:szCs w:val="20"/>
        </w:rPr>
      </w:pPr>
      <w:r w:rsidRPr="00F53649">
        <w:rPr>
          <w:sz w:val="20"/>
          <w:szCs w:val="20"/>
        </w:rPr>
        <w:t xml:space="preserve">Despite their distinct definitions, confusion arises in scientific literature due to </w:t>
      </w:r>
      <w:r w:rsidR="00713863">
        <w:rPr>
          <w:sz w:val="20"/>
          <w:szCs w:val="20"/>
        </w:rPr>
        <w:t>mixed</w:t>
      </w:r>
      <w:r w:rsidRPr="00F53649">
        <w:rPr>
          <w:sz w:val="20"/>
          <w:szCs w:val="20"/>
        </w:rPr>
        <w:t xml:space="preserve"> terminology. For example, the IAEA TRS 398 guidelines</w:t>
      </w:r>
      <w:r w:rsidR="00713863">
        <w:rPr>
          <w:sz w:val="20"/>
          <w:szCs w:val="20"/>
        </w:rPr>
        <w:t xml:space="preserve">, </w:t>
      </w:r>
      <w:r w:rsidRPr="00F53649">
        <w:rPr>
          <w:sz w:val="20"/>
          <w:szCs w:val="20"/>
        </w:rPr>
        <w:t>both the 2000 edition and the 2023 revision</w:t>
      </w:r>
      <w:r w:rsidR="00713863">
        <w:rPr>
          <w:sz w:val="20"/>
          <w:szCs w:val="20"/>
        </w:rPr>
        <w:t xml:space="preserve">, </w:t>
      </w:r>
      <w:r w:rsidRPr="00F53649">
        <w:rPr>
          <w:sz w:val="20"/>
          <w:szCs w:val="20"/>
        </w:rPr>
        <w:t xml:space="preserve">use the phrase "radiation beam quality" in contexts that refer to beam quality. Further complicating matters, the 2019 Annual Report of a National Cancer Institute (Durante et al., Med. Phys. 46(2)) describes beam quality in terms of biological effectiveness, essentially referring to radiation quality. Similarly, Endo et al. (2023) </w:t>
      </w:r>
      <w:r w:rsidR="00644640" w:rsidRPr="00F53649">
        <w:rPr>
          <w:sz w:val="20"/>
          <w:szCs w:val="20"/>
        </w:rPr>
        <w:t>blurs</w:t>
      </w:r>
      <w:r w:rsidRPr="00F53649">
        <w:rPr>
          <w:sz w:val="20"/>
          <w:szCs w:val="20"/>
        </w:rPr>
        <w:t xml:space="preserve"> the lines between these concepts by using both terms interchangeably in discussions about biological effects.</w:t>
      </w:r>
    </w:p>
    <w:p w14:paraId="58C72A5F" w14:textId="341B6D2B" w:rsidR="00F53649" w:rsidRDefault="00F53649" w:rsidP="00F53649">
      <w:pPr>
        <w:pBdr>
          <w:bottom w:val="single" w:sz="6" w:space="1" w:color="auto"/>
        </w:pBdr>
        <w:jc w:val="both"/>
        <w:rPr>
          <w:sz w:val="20"/>
          <w:szCs w:val="20"/>
        </w:rPr>
      </w:pPr>
      <w:r w:rsidRPr="00F53649">
        <w:rPr>
          <w:sz w:val="20"/>
          <w:szCs w:val="20"/>
        </w:rPr>
        <w:t xml:space="preserve">Ultimately, while beam quality addresses measurement and standardization and radiation quality focuses on biological outcomes, distinguishing between the two is </w:t>
      </w:r>
      <w:r w:rsidR="00713863">
        <w:rPr>
          <w:sz w:val="20"/>
          <w:szCs w:val="20"/>
        </w:rPr>
        <w:t>important</w:t>
      </w:r>
      <w:r w:rsidRPr="00F53649">
        <w:rPr>
          <w:sz w:val="20"/>
          <w:szCs w:val="20"/>
        </w:rPr>
        <w:t xml:space="preserve"> to prevent misinterpretation. </w:t>
      </w:r>
    </w:p>
    <w:p w14:paraId="1B37DE78" w14:textId="77777777" w:rsidR="00713863" w:rsidRDefault="00713863" w:rsidP="00F53649">
      <w:pPr>
        <w:pBdr>
          <w:bottom w:val="single" w:sz="6" w:space="1" w:color="auto"/>
        </w:pBdr>
        <w:jc w:val="both"/>
        <w:rPr>
          <w:sz w:val="20"/>
          <w:szCs w:val="20"/>
        </w:rPr>
      </w:pPr>
    </w:p>
    <w:p w14:paraId="78687E6F" w14:textId="0700586A" w:rsidR="00F53649" w:rsidRPr="00F53649" w:rsidRDefault="00F53649" w:rsidP="00F53649">
      <w:pPr>
        <w:pStyle w:val="CommentText"/>
        <w:jc w:val="both"/>
        <w:rPr>
          <w:b/>
          <w:bCs/>
        </w:rPr>
      </w:pPr>
      <w:r w:rsidRPr="00F53649">
        <w:rPr>
          <w:b/>
          <w:bCs/>
        </w:rPr>
        <w:t>Q</w:t>
      </w:r>
      <w:r w:rsidRPr="00F53649">
        <w:rPr>
          <w:b/>
          <w:bCs/>
        </w:rPr>
        <w:t>2</w:t>
      </w:r>
      <w:r w:rsidRPr="00F53649">
        <w:rPr>
          <w:b/>
          <w:bCs/>
        </w:rPr>
        <w:t>: Is LET a macroscopic quantity?</w:t>
      </w:r>
    </w:p>
    <w:p w14:paraId="7751F01F" w14:textId="588625FC" w:rsidR="00F53649" w:rsidRPr="00F53649" w:rsidRDefault="00F53649" w:rsidP="00F53649">
      <w:pPr>
        <w:jc w:val="both"/>
        <w:rPr>
          <w:sz w:val="20"/>
          <w:szCs w:val="20"/>
        </w:rPr>
      </w:pPr>
      <w:r w:rsidRPr="00F53649">
        <w:rPr>
          <w:b/>
          <w:bCs/>
          <w:sz w:val="20"/>
          <w:szCs w:val="20"/>
        </w:rPr>
        <w:t>A2</w:t>
      </w:r>
      <w:r w:rsidRPr="00F53649">
        <w:rPr>
          <w:sz w:val="20"/>
          <w:szCs w:val="20"/>
        </w:rPr>
        <w:t xml:space="preserve">: </w:t>
      </w:r>
      <w:r>
        <w:rPr>
          <w:sz w:val="20"/>
          <w:szCs w:val="20"/>
        </w:rPr>
        <w:t xml:space="preserve">A preamble is necessary. </w:t>
      </w:r>
      <w:r w:rsidRPr="00F53649">
        <w:rPr>
          <w:sz w:val="20"/>
          <w:szCs w:val="20"/>
        </w:rPr>
        <w:t>In physics, a macroscopic quantity refers to a measurement that captures the overall behavior or characteristics of a system. These quantities emerge from the collective properties of countless individual components. For example, temperature, pressure, and volume are macroscopic quantities commonly used in thermodynamics and fluid mechanics. In contrast, microscopic quantities describe the behavior of individual molecules or atoms.</w:t>
      </w:r>
      <w:r w:rsidR="00713863">
        <w:rPr>
          <w:sz w:val="20"/>
          <w:szCs w:val="20"/>
        </w:rPr>
        <w:t xml:space="preserve"> </w:t>
      </w:r>
      <w:r w:rsidRPr="00F53649">
        <w:rPr>
          <w:sz w:val="20"/>
          <w:szCs w:val="20"/>
        </w:rPr>
        <w:t xml:space="preserve">To illustrate this distinction, consider a gas in thermal equilibrium. The temperature of the gas represents </w:t>
      </w:r>
      <w:r w:rsidRPr="00F53649">
        <w:rPr>
          <w:sz w:val="20"/>
          <w:szCs w:val="20"/>
        </w:rPr>
        <w:lastRenderedPageBreak/>
        <w:t>a macroscopic quantity</w:t>
      </w:r>
      <w:r w:rsidR="00713863">
        <w:rPr>
          <w:sz w:val="20"/>
          <w:szCs w:val="20"/>
        </w:rPr>
        <w:t xml:space="preserve"> since </w:t>
      </w:r>
      <w:r w:rsidRPr="00F53649">
        <w:rPr>
          <w:sz w:val="20"/>
          <w:szCs w:val="20"/>
        </w:rPr>
        <w:t xml:space="preserve">it reflects the average result of countless random collisions among individual particles moving within a given volume. Meanwhile, the instantaneous </w:t>
      </w:r>
      <w:r w:rsidR="00713863">
        <w:rPr>
          <w:sz w:val="20"/>
          <w:szCs w:val="20"/>
        </w:rPr>
        <w:t xml:space="preserve">kinetic </w:t>
      </w:r>
      <w:r w:rsidRPr="00F53649">
        <w:rPr>
          <w:sz w:val="20"/>
          <w:szCs w:val="20"/>
        </w:rPr>
        <w:t>energy of each atom or molecule is a microscopic quantity. This individual behavior can be described using probability density distributions that show how many particles possess energy within a specific range.</w:t>
      </w:r>
    </w:p>
    <w:p w14:paraId="4BC790C5" w14:textId="55E8F93B" w:rsidR="00F53649" w:rsidRPr="00F53649" w:rsidRDefault="00F53649" w:rsidP="00F53649">
      <w:pPr>
        <w:jc w:val="both"/>
        <w:rPr>
          <w:sz w:val="20"/>
          <w:szCs w:val="20"/>
        </w:rPr>
      </w:pPr>
      <w:r w:rsidRPr="00F53649">
        <w:rPr>
          <w:sz w:val="20"/>
          <w:szCs w:val="20"/>
        </w:rPr>
        <w:t>When it comes to Linear Energy Transfer, the term “macroscopic” is used to indicate that LET does</w:t>
      </w:r>
      <w:r w:rsidR="00713863">
        <w:rPr>
          <w:sz w:val="20"/>
          <w:szCs w:val="20"/>
        </w:rPr>
        <w:t xml:space="preserve"> </w:t>
      </w:r>
      <w:r w:rsidRPr="00F53649">
        <w:rPr>
          <w:sz w:val="20"/>
          <w:szCs w:val="20"/>
        </w:rPr>
        <w:t>n</w:t>
      </w:r>
      <w:r w:rsidR="00713863">
        <w:rPr>
          <w:sz w:val="20"/>
          <w:szCs w:val="20"/>
        </w:rPr>
        <w:t>o</w:t>
      </w:r>
      <w:r w:rsidRPr="00F53649">
        <w:rPr>
          <w:sz w:val="20"/>
          <w:szCs w:val="20"/>
        </w:rPr>
        <w:t>t represent the random, statistical nature of energy deposition, but rather the average energy lost per unit distance by particles with identical energies. This label works only for monoenergetic beams and for what</w:t>
      </w:r>
      <w:r w:rsidR="00713863">
        <w:rPr>
          <w:sz w:val="20"/>
          <w:szCs w:val="20"/>
        </w:rPr>
        <w:t xml:space="preserve"> i</w:t>
      </w:r>
      <w:r w:rsidRPr="00F53649">
        <w:rPr>
          <w:sz w:val="20"/>
          <w:szCs w:val="20"/>
        </w:rPr>
        <w:t>s called unrestricted LET.</w:t>
      </w:r>
    </w:p>
    <w:p w14:paraId="0B557B08" w14:textId="02F45A2E" w:rsidR="00F53649" w:rsidRPr="00F53649" w:rsidRDefault="00F53649" w:rsidP="00F53649">
      <w:pPr>
        <w:jc w:val="both"/>
        <w:rPr>
          <w:sz w:val="20"/>
          <w:szCs w:val="20"/>
        </w:rPr>
      </w:pPr>
      <w:r w:rsidRPr="00F53649">
        <w:rPr>
          <w:sz w:val="20"/>
          <w:szCs w:val="20"/>
        </w:rPr>
        <w:t xml:space="preserve">However, things become more complex when radiation from multiple particle beams with different energies overlap within the same space. Unlike temperature, which can still be described macroscopically under mixed conditions, LET loses that neat analogy. In this case, a proper macroscopic description must </w:t>
      </w:r>
      <w:r w:rsidR="00713863">
        <w:rPr>
          <w:sz w:val="20"/>
          <w:szCs w:val="20"/>
        </w:rPr>
        <w:t xml:space="preserve">still </w:t>
      </w:r>
      <w:r w:rsidRPr="00F53649">
        <w:rPr>
          <w:sz w:val="20"/>
          <w:szCs w:val="20"/>
        </w:rPr>
        <w:t xml:space="preserve">specify the LET value for each distinct particle energy. </w:t>
      </w:r>
      <w:r w:rsidR="00713863">
        <w:rPr>
          <w:sz w:val="20"/>
          <w:szCs w:val="20"/>
        </w:rPr>
        <w:t xml:space="preserve">This is done by </w:t>
      </w:r>
      <w:r w:rsidRPr="00F53649">
        <w:rPr>
          <w:sz w:val="20"/>
          <w:szCs w:val="20"/>
        </w:rPr>
        <w:t xml:space="preserve">a distribution of LET values. Some may argue that using a distribution contradicts the idea of a macroscopic quantity. To simplify matters, people sometimes refer to weighted averages like </w:t>
      </w:r>
      <w:proofErr w:type="spellStart"/>
      <w:r w:rsidRPr="00F53649">
        <w:rPr>
          <w:sz w:val="20"/>
          <w:szCs w:val="20"/>
        </w:rPr>
        <w:t>LETt</w:t>
      </w:r>
      <w:proofErr w:type="spellEnd"/>
      <w:r w:rsidRPr="00F53649">
        <w:rPr>
          <w:sz w:val="20"/>
          <w:szCs w:val="20"/>
        </w:rPr>
        <w:t xml:space="preserve"> or </w:t>
      </w:r>
      <w:proofErr w:type="spellStart"/>
      <w:r w:rsidRPr="00F53649">
        <w:rPr>
          <w:sz w:val="20"/>
          <w:szCs w:val="20"/>
        </w:rPr>
        <w:t>LETd</w:t>
      </w:r>
      <w:proofErr w:type="spellEnd"/>
      <w:r w:rsidRPr="00F53649">
        <w:rPr>
          <w:sz w:val="20"/>
          <w:szCs w:val="20"/>
        </w:rPr>
        <w:t xml:space="preserve">, though this practice lacks precision and is </w:t>
      </w:r>
      <w:r w:rsidR="00713863">
        <w:rPr>
          <w:sz w:val="20"/>
          <w:szCs w:val="20"/>
        </w:rPr>
        <w:t xml:space="preserve">often </w:t>
      </w:r>
      <w:r w:rsidRPr="00F53649">
        <w:rPr>
          <w:sz w:val="20"/>
          <w:szCs w:val="20"/>
        </w:rPr>
        <w:t>discouraged</w:t>
      </w:r>
      <w:r w:rsidR="00713863">
        <w:rPr>
          <w:sz w:val="20"/>
          <w:szCs w:val="20"/>
        </w:rPr>
        <w:t>, those are quantities which are compatible with the term macroscopic used in thermodynamics</w:t>
      </w:r>
      <w:r w:rsidRPr="00F53649">
        <w:rPr>
          <w:sz w:val="20"/>
          <w:szCs w:val="20"/>
        </w:rPr>
        <w:t>.</w:t>
      </w:r>
    </w:p>
    <w:p w14:paraId="458F09E7" w14:textId="24297C6E" w:rsidR="00F53649" w:rsidRPr="00F53649" w:rsidRDefault="00F53649" w:rsidP="00F53649">
      <w:pPr>
        <w:jc w:val="both"/>
        <w:rPr>
          <w:sz w:val="20"/>
          <w:szCs w:val="20"/>
        </w:rPr>
      </w:pPr>
      <w:r w:rsidRPr="00F53649">
        <w:rPr>
          <w:sz w:val="20"/>
          <w:szCs w:val="20"/>
        </w:rPr>
        <w:t>Restricted LET, on the other hand,</w:t>
      </w:r>
      <w:r w:rsidR="00713863">
        <w:rPr>
          <w:sz w:val="20"/>
          <w:szCs w:val="20"/>
        </w:rPr>
        <w:t xml:space="preserve"> is based on the </w:t>
      </w:r>
      <w:r w:rsidR="00713863" w:rsidRPr="00F53649">
        <w:rPr>
          <w:sz w:val="20"/>
          <w:szCs w:val="20"/>
        </w:rPr>
        <w:t>exclusion</w:t>
      </w:r>
      <w:r w:rsidR="00713863">
        <w:rPr>
          <w:sz w:val="20"/>
          <w:szCs w:val="20"/>
        </w:rPr>
        <w:t xml:space="preserve"> of </w:t>
      </w:r>
      <w:r w:rsidRPr="00F53649">
        <w:rPr>
          <w:sz w:val="20"/>
          <w:szCs w:val="20"/>
        </w:rPr>
        <w:t>secondary electrons whose energy exceeds a particular cutoff level. Accurately excluding these electrons requires knowing the energy distribution of electronic collisions</w:t>
      </w:r>
      <w:r w:rsidR="00713863">
        <w:rPr>
          <w:sz w:val="20"/>
          <w:szCs w:val="20"/>
        </w:rPr>
        <w:t xml:space="preserve">, an </w:t>
      </w:r>
      <w:r w:rsidRPr="00F53649">
        <w:rPr>
          <w:sz w:val="20"/>
          <w:szCs w:val="20"/>
        </w:rPr>
        <w:t>information that is inherently microscopic. Therefore, restricted LET cannot truly be considered macroscopic</w:t>
      </w:r>
      <w:r w:rsidR="00713863" w:rsidRPr="00713863">
        <w:rPr>
          <w:sz w:val="20"/>
          <w:szCs w:val="20"/>
        </w:rPr>
        <w:t xml:space="preserve"> </w:t>
      </w:r>
      <w:r w:rsidR="00713863" w:rsidRPr="00F53649">
        <w:rPr>
          <w:sz w:val="20"/>
          <w:szCs w:val="20"/>
        </w:rPr>
        <w:t>even for monoenergetic beams</w:t>
      </w:r>
      <w:r w:rsidRPr="00F53649">
        <w:rPr>
          <w:sz w:val="20"/>
          <w:szCs w:val="20"/>
        </w:rPr>
        <w:t>.</w:t>
      </w:r>
    </w:p>
    <w:p w14:paraId="53A348FB" w14:textId="0574B509" w:rsidR="00F53649" w:rsidRDefault="00F53649" w:rsidP="00F53649">
      <w:pPr>
        <w:pBdr>
          <w:bottom w:val="single" w:sz="6" w:space="1" w:color="auto"/>
        </w:pBdr>
        <w:jc w:val="both"/>
        <w:rPr>
          <w:sz w:val="20"/>
          <w:szCs w:val="20"/>
        </w:rPr>
      </w:pPr>
      <w:r w:rsidRPr="00F53649">
        <w:rPr>
          <w:sz w:val="20"/>
          <w:szCs w:val="20"/>
        </w:rPr>
        <w:t>In the end, continuing to label LET as a macroscopic quantity can create confusion and is often unnecessary. For unrestricted LET, it’s more accurate to use the term “non-stochastic,” which avoids misinterpretation. When dealing with complex radiation fields involving multiple particle types and energies, both unrestricted and restricted LET should be described using distributions rather than simplified averages.</w:t>
      </w:r>
    </w:p>
    <w:p w14:paraId="1E8BD23E" w14:textId="2025A3E7" w:rsidR="004A4093" w:rsidRPr="004A4093" w:rsidRDefault="004A4093" w:rsidP="004A4093">
      <w:pPr>
        <w:jc w:val="both"/>
        <w:rPr>
          <w:b/>
          <w:bCs/>
          <w:sz w:val="20"/>
          <w:szCs w:val="20"/>
        </w:rPr>
      </w:pPr>
      <w:r w:rsidRPr="004A4093">
        <w:rPr>
          <w:b/>
          <w:bCs/>
          <w:sz w:val="20"/>
          <w:szCs w:val="20"/>
        </w:rPr>
        <w:t>Q</w:t>
      </w:r>
      <w:r w:rsidRPr="004A4093">
        <w:rPr>
          <w:b/>
          <w:bCs/>
          <w:sz w:val="20"/>
          <w:szCs w:val="20"/>
        </w:rPr>
        <w:t>3</w:t>
      </w:r>
      <w:r w:rsidRPr="004A4093">
        <w:rPr>
          <w:b/>
          <w:bCs/>
          <w:sz w:val="20"/>
          <w:szCs w:val="20"/>
        </w:rPr>
        <w:t xml:space="preserve">: When the vertical axis of microdosimetric distributions should be represented using y as additional multiplicative factor: </w:t>
      </w:r>
      <w:proofErr w:type="spellStart"/>
      <w:r w:rsidRPr="004A4093">
        <w:rPr>
          <w:b/>
          <w:bCs/>
          <w:sz w:val="20"/>
          <w:szCs w:val="20"/>
        </w:rPr>
        <w:t>y·f</w:t>
      </w:r>
      <w:proofErr w:type="spellEnd"/>
      <w:r w:rsidRPr="004A4093">
        <w:rPr>
          <w:b/>
          <w:bCs/>
          <w:sz w:val="20"/>
          <w:szCs w:val="20"/>
        </w:rPr>
        <w:t xml:space="preserve">(y) , </w:t>
      </w:r>
      <w:proofErr w:type="spellStart"/>
      <w:r w:rsidRPr="004A4093">
        <w:rPr>
          <w:b/>
          <w:bCs/>
          <w:sz w:val="20"/>
          <w:szCs w:val="20"/>
        </w:rPr>
        <w:t>y·d</w:t>
      </w:r>
      <w:proofErr w:type="spellEnd"/>
      <w:r w:rsidRPr="004A4093">
        <w:rPr>
          <w:b/>
          <w:bCs/>
          <w:sz w:val="20"/>
          <w:szCs w:val="20"/>
        </w:rPr>
        <w:t xml:space="preserve">(y)? </w:t>
      </w:r>
    </w:p>
    <w:p w14:paraId="750D5256" w14:textId="5F0D97E7" w:rsidR="004A4093" w:rsidRPr="004A4093" w:rsidRDefault="004A4093" w:rsidP="004A4093">
      <w:pPr>
        <w:jc w:val="both"/>
        <w:rPr>
          <w:sz w:val="20"/>
          <w:szCs w:val="20"/>
        </w:rPr>
      </w:pPr>
      <w:r w:rsidRPr="00B93144">
        <w:rPr>
          <w:b/>
          <w:bCs/>
          <w:sz w:val="20"/>
          <w:szCs w:val="20"/>
        </w:rPr>
        <w:t>A</w:t>
      </w:r>
      <w:r w:rsidRPr="00B93144">
        <w:rPr>
          <w:b/>
          <w:bCs/>
          <w:sz w:val="20"/>
          <w:szCs w:val="20"/>
        </w:rPr>
        <w:t>3</w:t>
      </w:r>
      <w:r w:rsidRPr="00B93144">
        <w:rPr>
          <w:b/>
          <w:bCs/>
          <w:sz w:val="20"/>
          <w:szCs w:val="20"/>
        </w:rPr>
        <w:t>.</w:t>
      </w:r>
      <w:r w:rsidRPr="004A4093">
        <w:rPr>
          <w:sz w:val="20"/>
          <w:szCs w:val="20"/>
        </w:rPr>
        <w:t xml:space="preserve"> The area underneath the distribution between two values, when the co-ordinates are both represented in linear metric, is proportional to the fractional quantity represented by the distribution in that interval. For instance, the area under the distribution d(y) in the lineal-energy interval (y1,y2) is proportional to the partial dose imparted by events with lineal energies between those two values. </w:t>
      </w:r>
    </w:p>
    <w:p w14:paraId="1B1CA7D4" w14:textId="77777777" w:rsidR="004A4093" w:rsidRPr="004A4093" w:rsidRDefault="004A4093" w:rsidP="004A4093">
      <w:pPr>
        <w:jc w:val="both"/>
        <w:rPr>
          <w:sz w:val="20"/>
          <w:szCs w:val="20"/>
        </w:rPr>
      </w:pPr>
      <w:r w:rsidRPr="004A4093">
        <w:rPr>
          <w:sz w:val="20"/>
          <w:szCs w:val="20"/>
        </w:rPr>
        <w:t xml:space="preserve">However, the microdosimetric spectra are presented, in general, using the so-called semi-logarithmic graphs where the lineal energy y, in abscissa, is represented in logarithmic scale while the distributions, in ordinate, maintain the linear scale.  In order to preserve the area normalization, a supplementary multiplicative factor y must be added in the distributions obtaining </w:t>
      </w:r>
      <w:proofErr w:type="spellStart"/>
      <w:r w:rsidRPr="004A4093">
        <w:rPr>
          <w:sz w:val="20"/>
          <w:szCs w:val="20"/>
        </w:rPr>
        <w:t>y·f</w:t>
      </w:r>
      <w:proofErr w:type="spellEnd"/>
      <w:r w:rsidRPr="004A4093">
        <w:rPr>
          <w:sz w:val="20"/>
          <w:szCs w:val="20"/>
        </w:rPr>
        <w:t xml:space="preserve">(y) or </w:t>
      </w:r>
      <w:proofErr w:type="spellStart"/>
      <w:r w:rsidRPr="004A4093">
        <w:rPr>
          <w:sz w:val="20"/>
          <w:szCs w:val="20"/>
        </w:rPr>
        <w:t>y·d</w:t>
      </w:r>
      <w:proofErr w:type="spellEnd"/>
      <w:r w:rsidRPr="004A4093">
        <w:rPr>
          <w:sz w:val="20"/>
          <w:szCs w:val="20"/>
        </w:rPr>
        <w:t xml:space="preserve">(y). The same condition is true for LET when the semi-logarithmic representation is used so the distributions should have the additional multiplicative value: </w:t>
      </w:r>
      <w:proofErr w:type="spellStart"/>
      <w:r w:rsidRPr="004A4093">
        <w:rPr>
          <w:sz w:val="20"/>
          <w:szCs w:val="20"/>
        </w:rPr>
        <w:t>LET·f</w:t>
      </w:r>
      <w:proofErr w:type="spellEnd"/>
      <w:r w:rsidRPr="004A4093">
        <w:rPr>
          <w:sz w:val="20"/>
          <w:szCs w:val="20"/>
        </w:rPr>
        <w:t xml:space="preserve">(LET) or </w:t>
      </w:r>
      <w:proofErr w:type="spellStart"/>
      <w:r w:rsidRPr="004A4093">
        <w:rPr>
          <w:sz w:val="20"/>
          <w:szCs w:val="20"/>
        </w:rPr>
        <w:t>LET·d</w:t>
      </w:r>
      <w:proofErr w:type="spellEnd"/>
      <w:r w:rsidRPr="004A4093">
        <w:rPr>
          <w:sz w:val="20"/>
          <w:szCs w:val="20"/>
        </w:rPr>
        <w:t xml:space="preserve">(LET)—or in an older notation as </w:t>
      </w:r>
      <w:proofErr w:type="spellStart"/>
      <w:r w:rsidRPr="004A4093">
        <w:rPr>
          <w:sz w:val="20"/>
          <w:szCs w:val="20"/>
        </w:rPr>
        <w:t>L·f</w:t>
      </w:r>
      <w:proofErr w:type="spellEnd"/>
      <w:r w:rsidRPr="004A4093">
        <w:rPr>
          <w:sz w:val="20"/>
          <w:szCs w:val="20"/>
        </w:rPr>
        <w:t xml:space="preserve">(L) or </w:t>
      </w:r>
      <w:proofErr w:type="spellStart"/>
      <w:r w:rsidRPr="004A4093">
        <w:rPr>
          <w:sz w:val="20"/>
          <w:szCs w:val="20"/>
        </w:rPr>
        <w:t>L·f</w:t>
      </w:r>
      <w:proofErr w:type="spellEnd"/>
      <w:r w:rsidRPr="004A4093">
        <w:rPr>
          <w:sz w:val="20"/>
          <w:szCs w:val="20"/>
        </w:rPr>
        <w:t xml:space="preserve">(L). </w:t>
      </w:r>
    </w:p>
    <w:p w14:paraId="355F29C9" w14:textId="77777777" w:rsidR="004A4093" w:rsidRPr="004A4093" w:rsidRDefault="004A4093" w:rsidP="004A4093">
      <w:pPr>
        <w:jc w:val="both"/>
        <w:rPr>
          <w:sz w:val="20"/>
          <w:szCs w:val="20"/>
        </w:rPr>
      </w:pPr>
      <w:r w:rsidRPr="004A4093">
        <w:rPr>
          <w:sz w:val="20"/>
          <w:szCs w:val="20"/>
        </w:rPr>
        <w:t>In conclusion, the multiplicative factor in front of the distributions should be used only in case of semi-logarithmic metrics. All other representation must avoid it, including the case in which both axes have a logarithmic representation. Nevertheless, it is not uncommon to see the multiplicative factors y in front of the distributions used in other representations in which abscissa and ordinate are represented both in linear or in logarithmic scale.</w:t>
      </w:r>
    </w:p>
    <w:p w14:paraId="53E1CF4F" w14:textId="38C4A6D4" w:rsidR="00635137" w:rsidRDefault="004A4093" w:rsidP="004A4093">
      <w:pPr>
        <w:jc w:val="both"/>
        <w:rPr>
          <w:sz w:val="20"/>
          <w:szCs w:val="20"/>
        </w:rPr>
      </w:pPr>
      <w:r w:rsidRPr="004A4093">
        <w:rPr>
          <w:sz w:val="20"/>
          <w:szCs w:val="20"/>
        </w:rPr>
        <w:t>A short digression to understand why such semi-logarithmic representation is the most used. The reasons are historical and are founded of the capability of compacting several decades of the spectrum to visually emphasize some important features. Highlighted in this representation is the presence of “edges” and spectra components which refer to different particle types which are lost in the linear representation. A typical case where the semi-logarithmic metric shows its advantage is the gamma-neutron spectrum where the two regions for the two particles can be clearly distinguished but would be blurred in a linear representation.</w:t>
      </w:r>
    </w:p>
    <w:p w14:paraId="6B40EDC0" w14:textId="77777777" w:rsidR="00635137" w:rsidRDefault="00635137">
      <w:pPr>
        <w:rPr>
          <w:sz w:val="20"/>
          <w:szCs w:val="20"/>
        </w:rPr>
      </w:pPr>
      <w:r>
        <w:rPr>
          <w:sz w:val="20"/>
          <w:szCs w:val="20"/>
        </w:rPr>
        <w:br w:type="page"/>
      </w:r>
    </w:p>
    <w:p w14:paraId="6D0D7815" w14:textId="34EDDDAE" w:rsidR="00635137" w:rsidRDefault="00635137">
      <w:pPr>
        <w:rPr>
          <w:sz w:val="20"/>
          <w:szCs w:val="20"/>
        </w:rPr>
      </w:pPr>
      <w:r>
        <w:rPr>
          <w:sz w:val="20"/>
          <w:szCs w:val="20"/>
        </w:rPr>
        <w:lastRenderedPageBreak/>
        <w:br w:type="page"/>
      </w:r>
    </w:p>
    <w:p w14:paraId="4B97760D" w14:textId="77777777" w:rsidR="00635137" w:rsidRDefault="00635137" w:rsidP="00635137">
      <w:pPr>
        <w:jc w:val="both"/>
        <w:rPr>
          <w:rFonts w:cstheme="minorHAnsi"/>
          <w:color w:val="FF0000"/>
          <w:sz w:val="20"/>
          <w:szCs w:val="20"/>
        </w:rPr>
      </w:pPr>
    </w:p>
    <w:tbl>
      <w:tblPr>
        <w:tblStyle w:val="TableGrid"/>
        <w:tblW w:w="8991" w:type="dxa"/>
        <w:tblInd w:w="360" w:type="dxa"/>
        <w:tblLayout w:type="fixed"/>
        <w:tblLook w:val="04A0" w:firstRow="1" w:lastRow="0" w:firstColumn="1" w:lastColumn="0" w:noHBand="0" w:noVBand="1"/>
      </w:tblPr>
      <w:tblGrid>
        <w:gridCol w:w="911"/>
        <w:gridCol w:w="1276"/>
        <w:gridCol w:w="2693"/>
        <w:gridCol w:w="4111"/>
      </w:tblGrid>
      <w:tr w:rsidR="00635137" w14:paraId="59A5D308" w14:textId="77777777" w:rsidTr="00505F7C">
        <w:trPr>
          <w:trHeight w:val="732"/>
        </w:trPr>
        <w:tc>
          <w:tcPr>
            <w:tcW w:w="8991" w:type="dxa"/>
            <w:gridSpan w:val="4"/>
          </w:tcPr>
          <w:p w14:paraId="0C98B6B4" w14:textId="704F6635" w:rsidR="00635137" w:rsidRPr="001F5B8E" w:rsidRDefault="00635137" w:rsidP="00505F7C">
            <w:pPr>
              <w:jc w:val="both"/>
              <w:rPr>
                <w:rFonts w:ascii="Calibri" w:hAnsi="Calibri" w:cs="Arial"/>
                <w:sz w:val="20"/>
                <w:szCs w:val="20"/>
                <w:shd w:val="clear" w:color="auto" w:fill="FFFFFF"/>
              </w:rPr>
            </w:pPr>
            <w:r>
              <w:rPr>
                <w:rFonts w:ascii="Calibri" w:hAnsi="Calibri" w:cs="Arial"/>
                <w:sz w:val="20"/>
                <w:szCs w:val="20"/>
                <w:shd w:val="clear" w:color="auto" w:fill="FFFFFF"/>
              </w:rPr>
              <w:t>Chapter GRE</w:t>
            </w:r>
            <w:r>
              <w:rPr>
                <w:rFonts w:ascii="Calibri" w:hAnsi="Calibri" w:cs="Arial"/>
                <w:sz w:val="20"/>
                <w:szCs w:val="20"/>
                <w:shd w:val="clear" w:color="auto" w:fill="FFFFFF"/>
              </w:rPr>
              <w:t>Y</w:t>
            </w:r>
          </w:p>
        </w:tc>
      </w:tr>
      <w:tr w:rsidR="00635137" w14:paraId="31424955" w14:textId="77777777" w:rsidTr="00505F7C">
        <w:trPr>
          <w:trHeight w:val="248"/>
        </w:trPr>
        <w:tc>
          <w:tcPr>
            <w:tcW w:w="911" w:type="dxa"/>
          </w:tcPr>
          <w:p w14:paraId="499DCA39" w14:textId="77777777" w:rsidR="00635137" w:rsidRPr="001F5B8E" w:rsidRDefault="00635137" w:rsidP="00505F7C">
            <w:pPr>
              <w:pStyle w:val="ListParagraph"/>
              <w:ind w:left="0"/>
              <w:jc w:val="both"/>
              <w:rPr>
                <w:rFonts w:ascii="Calibri" w:hAnsi="Calibri" w:cs="Arial"/>
                <w:b/>
                <w:bCs/>
                <w:sz w:val="20"/>
                <w:szCs w:val="20"/>
                <w:shd w:val="clear" w:color="auto" w:fill="FFFFFF"/>
              </w:rPr>
            </w:pPr>
            <w:r w:rsidRPr="001F5B8E">
              <w:rPr>
                <w:rFonts w:ascii="Calibri" w:hAnsi="Calibri" w:cs="Arial"/>
                <w:b/>
                <w:bCs/>
                <w:sz w:val="20"/>
                <w:szCs w:val="20"/>
                <w:shd w:val="clear" w:color="auto" w:fill="FFFFFF"/>
              </w:rPr>
              <w:t>Version</w:t>
            </w:r>
          </w:p>
        </w:tc>
        <w:tc>
          <w:tcPr>
            <w:tcW w:w="1276" w:type="dxa"/>
          </w:tcPr>
          <w:p w14:paraId="4563D143" w14:textId="77777777" w:rsidR="00635137" w:rsidRPr="001F5B8E" w:rsidRDefault="00635137" w:rsidP="00505F7C">
            <w:pPr>
              <w:pStyle w:val="ListParagraph"/>
              <w:ind w:left="0"/>
              <w:jc w:val="both"/>
              <w:rPr>
                <w:rFonts w:ascii="Calibri" w:hAnsi="Calibri" w:cs="Arial"/>
                <w:b/>
                <w:bCs/>
                <w:sz w:val="20"/>
                <w:szCs w:val="20"/>
                <w:shd w:val="clear" w:color="auto" w:fill="FFFFFF"/>
              </w:rPr>
            </w:pPr>
            <w:r w:rsidRPr="001F5B8E">
              <w:rPr>
                <w:rFonts w:ascii="Calibri" w:hAnsi="Calibri" w:cs="Arial"/>
                <w:b/>
                <w:bCs/>
                <w:sz w:val="20"/>
                <w:szCs w:val="20"/>
                <w:shd w:val="clear" w:color="auto" w:fill="FFFFFF"/>
              </w:rPr>
              <w:t>Date</w:t>
            </w:r>
          </w:p>
        </w:tc>
        <w:tc>
          <w:tcPr>
            <w:tcW w:w="2693" w:type="dxa"/>
          </w:tcPr>
          <w:p w14:paraId="215FC80A" w14:textId="77777777" w:rsidR="00635137" w:rsidRPr="001F5B8E" w:rsidRDefault="00635137" w:rsidP="00505F7C">
            <w:pPr>
              <w:pStyle w:val="ListParagraph"/>
              <w:ind w:left="0"/>
              <w:jc w:val="both"/>
              <w:rPr>
                <w:rFonts w:ascii="Calibri" w:hAnsi="Calibri" w:cs="Arial"/>
                <w:b/>
                <w:bCs/>
                <w:sz w:val="20"/>
                <w:szCs w:val="20"/>
                <w:shd w:val="clear" w:color="auto" w:fill="FFFFFF"/>
              </w:rPr>
            </w:pPr>
            <w:r w:rsidRPr="001F5B8E">
              <w:rPr>
                <w:rFonts w:ascii="Calibri" w:hAnsi="Calibri" w:cs="Arial"/>
                <w:b/>
                <w:bCs/>
                <w:sz w:val="20"/>
                <w:szCs w:val="20"/>
                <w:shd w:val="clear" w:color="auto" w:fill="FFFFFF"/>
              </w:rPr>
              <w:t>Authors</w:t>
            </w:r>
          </w:p>
        </w:tc>
        <w:tc>
          <w:tcPr>
            <w:tcW w:w="4111" w:type="dxa"/>
          </w:tcPr>
          <w:p w14:paraId="7289F328" w14:textId="77777777" w:rsidR="00635137" w:rsidRPr="001F5B8E" w:rsidRDefault="00635137" w:rsidP="00505F7C">
            <w:pPr>
              <w:pStyle w:val="ListParagraph"/>
              <w:ind w:left="0"/>
              <w:jc w:val="both"/>
              <w:rPr>
                <w:rFonts w:ascii="Calibri" w:hAnsi="Calibri" w:cs="Arial"/>
                <w:b/>
                <w:bCs/>
                <w:sz w:val="20"/>
                <w:szCs w:val="20"/>
                <w:shd w:val="clear" w:color="auto" w:fill="FFFFFF"/>
              </w:rPr>
            </w:pPr>
            <w:r w:rsidRPr="001F5B8E">
              <w:rPr>
                <w:rFonts w:ascii="Calibri" w:hAnsi="Calibri" w:cs="Arial"/>
                <w:b/>
                <w:bCs/>
                <w:sz w:val="20"/>
                <w:szCs w:val="20"/>
                <w:shd w:val="clear" w:color="auto" w:fill="FFFFFF"/>
              </w:rPr>
              <w:t>Major changes and comments</w:t>
            </w:r>
          </w:p>
        </w:tc>
      </w:tr>
      <w:tr w:rsidR="00635137" w14:paraId="5E81F6EE" w14:textId="77777777" w:rsidTr="00505F7C">
        <w:trPr>
          <w:trHeight w:val="265"/>
        </w:trPr>
        <w:tc>
          <w:tcPr>
            <w:tcW w:w="911" w:type="dxa"/>
          </w:tcPr>
          <w:p w14:paraId="570408D6" w14:textId="77777777" w:rsidR="00635137" w:rsidRDefault="00635137" w:rsidP="00505F7C">
            <w:pPr>
              <w:pStyle w:val="ListParagraph"/>
              <w:ind w:left="0"/>
              <w:jc w:val="both"/>
              <w:rPr>
                <w:rFonts w:ascii="Calibri" w:hAnsi="Calibri" w:cs="Arial"/>
                <w:sz w:val="20"/>
                <w:szCs w:val="20"/>
                <w:shd w:val="clear" w:color="auto" w:fill="FFFFFF"/>
              </w:rPr>
            </w:pPr>
            <w:r>
              <w:rPr>
                <w:rFonts w:ascii="Calibri" w:hAnsi="Calibri" w:cs="Arial"/>
                <w:sz w:val="20"/>
                <w:szCs w:val="20"/>
                <w:shd w:val="clear" w:color="auto" w:fill="FFFFFF"/>
              </w:rPr>
              <w:t>0.1</w:t>
            </w:r>
          </w:p>
        </w:tc>
        <w:tc>
          <w:tcPr>
            <w:tcW w:w="1276" w:type="dxa"/>
          </w:tcPr>
          <w:p w14:paraId="50D3D41B" w14:textId="77777777" w:rsidR="00635137" w:rsidRDefault="00635137" w:rsidP="00505F7C">
            <w:pPr>
              <w:pStyle w:val="ListParagraph"/>
              <w:ind w:left="0"/>
              <w:jc w:val="both"/>
              <w:rPr>
                <w:rFonts w:ascii="Calibri" w:hAnsi="Calibri" w:cs="Arial"/>
                <w:sz w:val="20"/>
                <w:szCs w:val="20"/>
                <w:shd w:val="clear" w:color="auto" w:fill="FFFFFF"/>
              </w:rPr>
            </w:pPr>
            <w:r>
              <w:rPr>
                <w:rFonts w:ascii="Calibri" w:hAnsi="Calibri" w:cs="Arial"/>
                <w:sz w:val="20"/>
                <w:szCs w:val="20"/>
                <w:shd w:val="clear" w:color="auto" w:fill="FFFFFF"/>
              </w:rPr>
              <w:t>28 July 2025</w:t>
            </w:r>
          </w:p>
        </w:tc>
        <w:tc>
          <w:tcPr>
            <w:tcW w:w="2693" w:type="dxa"/>
          </w:tcPr>
          <w:p w14:paraId="697CEBE5" w14:textId="77777777" w:rsidR="00635137" w:rsidRDefault="00635137" w:rsidP="00505F7C">
            <w:pPr>
              <w:pStyle w:val="ListParagraph"/>
              <w:ind w:left="0"/>
              <w:jc w:val="both"/>
              <w:rPr>
                <w:rFonts w:ascii="Calibri" w:hAnsi="Calibri" w:cs="Arial"/>
                <w:sz w:val="20"/>
                <w:szCs w:val="20"/>
                <w:shd w:val="clear" w:color="auto" w:fill="FFFFFF"/>
              </w:rPr>
            </w:pPr>
            <w:r>
              <w:rPr>
                <w:rFonts w:ascii="Calibri" w:hAnsi="Calibri" w:cs="Arial"/>
                <w:sz w:val="20"/>
                <w:szCs w:val="20"/>
                <w:shd w:val="clear" w:color="auto" w:fill="FFFFFF"/>
              </w:rPr>
              <w:t>Giulio Magrin</w:t>
            </w:r>
          </w:p>
        </w:tc>
        <w:tc>
          <w:tcPr>
            <w:tcW w:w="4111" w:type="dxa"/>
          </w:tcPr>
          <w:p w14:paraId="78729318" w14:textId="77777777" w:rsidR="00635137" w:rsidRDefault="00635137" w:rsidP="00505F7C">
            <w:pPr>
              <w:pStyle w:val="ListParagraph"/>
              <w:ind w:left="0"/>
              <w:jc w:val="both"/>
              <w:rPr>
                <w:rFonts w:ascii="Calibri" w:hAnsi="Calibri" w:cs="Arial"/>
                <w:sz w:val="20"/>
                <w:szCs w:val="20"/>
                <w:shd w:val="clear" w:color="auto" w:fill="FFFFFF"/>
              </w:rPr>
            </w:pPr>
            <w:r>
              <w:rPr>
                <w:rFonts w:ascii="Calibri" w:hAnsi="Calibri" w:cs="Arial"/>
                <w:sz w:val="20"/>
                <w:szCs w:val="20"/>
                <w:shd w:val="clear" w:color="auto" w:fill="FFFFFF"/>
              </w:rPr>
              <w:t>First version</w:t>
            </w:r>
          </w:p>
        </w:tc>
      </w:tr>
      <w:tr w:rsidR="00635137" w14:paraId="48C0AD16" w14:textId="77777777" w:rsidTr="00505F7C">
        <w:trPr>
          <w:trHeight w:val="269"/>
        </w:trPr>
        <w:tc>
          <w:tcPr>
            <w:tcW w:w="911" w:type="dxa"/>
          </w:tcPr>
          <w:p w14:paraId="3AEAE200" w14:textId="77777777" w:rsidR="00635137" w:rsidRDefault="00635137" w:rsidP="00505F7C">
            <w:pPr>
              <w:pStyle w:val="ListParagraph"/>
              <w:ind w:left="0"/>
              <w:jc w:val="both"/>
              <w:rPr>
                <w:rFonts w:ascii="Calibri" w:hAnsi="Calibri" w:cs="Arial"/>
                <w:sz w:val="20"/>
                <w:szCs w:val="20"/>
                <w:shd w:val="clear" w:color="auto" w:fill="FFFFFF"/>
              </w:rPr>
            </w:pPr>
          </w:p>
        </w:tc>
        <w:tc>
          <w:tcPr>
            <w:tcW w:w="1276" w:type="dxa"/>
          </w:tcPr>
          <w:p w14:paraId="5FECF629" w14:textId="77777777" w:rsidR="00635137" w:rsidRDefault="00635137" w:rsidP="00505F7C">
            <w:pPr>
              <w:pStyle w:val="ListParagraph"/>
              <w:ind w:left="0"/>
              <w:jc w:val="both"/>
              <w:rPr>
                <w:rFonts w:ascii="Calibri" w:hAnsi="Calibri" w:cs="Arial"/>
                <w:sz w:val="20"/>
                <w:szCs w:val="20"/>
                <w:shd w:val="clear" w:color="auto" w:fill="FFFFFF"/>
              </w:rPr>
            </w:pPr>
          </w:p>
        </w:tc>
        <w:tc>
          <w:tcPr>
            <w:tcW w:w="2693" w:type="dxa"/>
          </w:tcPr>
          <w:p w14:paraId="20AC6CC5" w14:textId="77777777" w:rsidR="00635137" w:rsidRDefault="00635137" w:rsidP="00505F7C">
            <w:pPr>
              <w:pStyle w:val="ListParagraph"/>
              <w:ind w:left="0"/>
              <w:jc w:val="both"/>
              <w:rPr>
                <w:rFonts w:ascii="Calibri" w:hAnsi="Calibri" w:cs="Arial"/>
                <w:sz w:val="20"/>
                <w:szCs w:val="20"/>
                <w:shd w:val="clear" w:color="auto" w:fill="FFFFFF"/>
              </w:rPr>
            </w:pPr>
          </w:p>
        </w:tc>
        <w:tc>
          <w:tcPr>
            <w:tcW w:w="4111" w:type="dxa"/>
          </w:tcPr>
          <w:p w14:paraId="11D58E4C" w14:textId="77777777" w:rsidR="00635137" w:rsidRDefault="00635137" w:rsidP="00505F7C">
            <w:pPr>
              <w:pStyle w:val="ListParagraph"/>
              <w:ind w:left="0"/>
              <w:jc w:val="both"/>
              <w:rPr>
                <w:rFonts w:ascii="Calibri" w:hAnsi="Calibri" w:cs="Arial"/>
                <w:sz w:val="20"/>
                <w:szCs w:val="20"/>
                <w:shd w:val="clear" w:color="auto" w:fill="FFFFFF"/>
              </w:rPr>
            </w:pPr>
          </w:p>
        </w:tc>
      </w:tr>
      <w:tr w:rsidR="00635137" w14:paraId="71CC5A72" w14:textId="77777777" w:rsidTr="00505F7C">
        <w:trPr>
          <w:trHeight w:val="289"/>
        </w:trPr>
        <w:tc>
          <w:tcPr>
            <w:tcW w:w="911" w:type="dxa"/>
          </w:tcPr>
          <w:p w14:paraId="22BCF6AB" w14:textId="77777777" w:rsidR="00635137" w:rsidRDefault="00635137" w:rsidP="00505F7C">
            <w:pPr>
              <w:pStyle w:val="ListParagraph"/>
              <w:ind w:left="0"/>
              <w:jc w:val="both"/>
              <w:rPr>
                <w:rFonts w:ascii="Calibri" w:hAnsi="Calibri" w:cs="Arial"/>
                <w:sz w:val="20"/>
                <w:szCs w:val="20"/>
                <w:shd w:val="clear" w:color="auto" w:fill="FFFFFF"/>
              </w:rPr>
            </w:pPr>
          </w:p>
        </w:tc>
        <w:tc>
          <w:tcPr>
            <w:tcW w:w="1276" w:type="dxa"/>
          </w:tcPr>
          <w:p w14:paraId="464FB126" w14:textId="77777777" w:rsidR="00635137" w:rsidRDefault="00635137" w:rsidP="00505F7C">
            <w:pPr>
              <w:pStyle w:val="ListParagraph"/>
              <w:ind w:left="0"/>
              <w:jc w:val="both"/>
              <w:rPr>
                <w:rFonts w:ascii="Calibri" w:hAnsi="Calibri" w:cs="Arial"/>
                <w:sz w:val="20"/>
                <w:szCs w:val="20"/>
                <w:shd w:val="clear" w:color="auto" w:fill="FFFFFF"/>
              </w:rPr>
            </w:pPr>
          </w:p>
        </w:tc>
        <w:tc>
          <w:tcPr>
            <w:tcW w:w="2693" w:type="dxa"/>
          </w:tcPr>
          <w:p w14:paraId="7A4BCD07" w14:textId="77777777" w:rsidR="00635137" w:rsidRDefault="00635137" w:rsidP="00505F7C">
            <w:pPr>
              <w:pStyle w:val="ListParagraph"/>
              <w:ind w:left="0"/>
              <w:jc w:val="both"/>
              <w:rPr>
                <w:rFonts w:ascii="Calibri" w:hAnsi="Calibri" w:cs="Arial"/>
                <w:sz w:val="20"/>
                <w:szCs w:val="20"/>
                <w:shd w:val="clear" w:color="auto" w:fill="FFFFFF"/>
              </w:rPr>
            </w:pPr>
          </w:p>
        </w:tc>
        <w:tc>
          <w:tcPr>
            <w:tcW w:w="4111" w:type="dxa"/>
          </w:tcPr>
          <w:p w14:paraId="490577A9" w14:textId="77777777" w:rsidR="00635137" w:rsidRDefault="00635137" w:rsidP="00505F7C">
            <w:pPr>
              <w:pStyle w:val="ListParagraph"/>
              <w:ind w:left="0"/>
              <w:jc w:val="both"/>
              <w:rPr>
                <w:rFonts w:ascii="Calibri" w:hAnsi="Calibri" w:cs="Arial"/>
                <w:sz w:val="20"/>
                <w:szCs w:val="20"/>
                <w:shd w:val="clear" w:color="auto" w:fill="FFFFFF"/>
              </w:rPr>
            </w:pPr>
          </w:p>
        </w:tc>
      </w:tr>
      <w:tr w:rsidR="00635137" w14:paraId="66050E2C" w14:textId="77777777" w:rsidTr="00505F7C">
        <w:trPr>
          <w:trHeight w:val="263"/>
        </w:trPr>
        <w:tc>
          <w:tcPr>
            <w:tcW w:w="911" w:type="dxa"/>
          </w:tcPr>
          <w:p w14:paraId="47B6AF44" w14:textId="77777777" w:rsidR="00635137" w:rsidRDefault="00635137" w:rsidP="00505F7C">
            <w:pPr>
              <w:pStyle w:val="ListParagraph"/>
              <w:ind w:left="0"/>
              <w:jc w:val="both"/>
              <w:rPr>
                <w:rFonts w:ascii="Calibri" w:hAnsi="Calibri" w:cs="Arial"/>
                <w:sz w:val="20"/>
                <w:szCs w:val="20"/>
                <w:shd w:val="clear" w:color="auto" w:fill="FFFFFF"/>
              </w:rPr>
            </w:pPr>
          </w:p>
        </w:tc>
        <w:tc>
          <w:tcPr>
            <w:tcW w:w="1276" w:type="dxa"/>
          </w:tcPr>
          <w:p w14:paraId="466E9440" w14:textId="77777777" w:rsidR="00635137" w:rsidRDefault="00635137" w:rsidP="00505F7C">
            <w:pPr>
              <w:pStyle w:val="ListParagraph"/>
              <w:ind w:left="0"/>
              <w:jc w:val="both"/>
              <w:rPr>
                <w:rFonts w:ascii="Calibri" w:hAnsi="Calibri" w:cs="Arial"/>
                <w:sz w:val="20"/>
                <w:szCs w:val="20"/>
                <w:shd w:val="clear" w:color="auto" w:fill="FFFFFF"/>
              </w:rPr>
            </w:pPr>
          </w:p>
        </w:tc>
        <w:tc>
          <w:tcPr>
            <w:tcW w:w="2693" w:type="dxa"/>
          </w:tcPr>
          <w:p w14:paraId="1B3A3F35" w14:textId="77777777" w:rsidR="00635137" w:rsidRDefault="00635137" w:rsidP="00505F7C">
            <w:pPr>
              <w:pStyle w:val="ListParagraph"/>
              <w:ind w:left="0"/>
              <w:jc w:val="both"/>
              <w:rPr>
                <w:rFonts w:ascii="Calibri" w:hAnsi="Calibri" w:cs="Arial"/>
                <w:sz w:val="20"/>
                <w:szCs w:val="20"/>
                <w:shd w:val="clear" w:color="auto" w:fill="FFFFFF"/>
              </w:rPr>
            </w:pPr>
          </w:p>
        </w:tc>
        <w:tc>
          <w:tcPr>
            <w:tcW w:w="4111" w:type="dxa"/>
          </w:tcPr>
          <w:p w14:paraId="24979392" w14:textId="77777777" w:rsidR="00635137" w:rsidRDefault="00635137" w:rsidP="00505F7C">
            <w:pPr>
              <w:pStyle w:val="ListParagraph"/>
              <w:ind w:left="0"/>
              <w:jc w:val="both"/>
              <w:rPr>
                <w:rFonts w:ascii="Calibri" w:hAnsi="Calibri" w:cs="Arial"/>
                <w:sz w:val="20"/>
                <w:szCs w:val="20"/>
                <w:shd w:val="clear" w:color="auto" w:fill="FFFFFF"/>
              </w:rPr>
            </w:pPr>
          </w:p>
        </w:tc>
      </w:tr>
    </w:tbl>
    <w:p w14:paraId="6AFD886C" w14:textId="77777777" w:rsidR="00635137" w:rsidRDefault="00635137" w:rsidP="00635137">
      <w:pPr>
        <w:pStyle w:val="ListParagraph"/>
        <w:ind w:left="360"/>
        <w:jc w:val="both"/>
        <w:rPr>
          <w:rFonts w:ascii="Calibri" w:hAnsi="Calibri" w:cs="Arial"/>
          <w:sz w:val="20"/>
          <w:szCs w:val="20"/>
          <w:shd w:val="clear" w:color="auto" w:fill="FFFFFF"/>
        </w:rPr>
      </w:pPr>
    </w:p>
    <w:p w14:paraId="245E2AAA" w14:textId="77777777" w:rsidR="004A4093" w:rsidRPr="00F53649" w:rsidRDefault="004A4093" w:rsidP="004A4093">
      <w:pPr>
        <w:jc w:val="both"/>
        <w:rPr>
          <w:sz w:val="20"/>
          <w:szCs w:val="20"/>
        </w:rPr>
      </w:pPr>
    </w:p>
    <w:sectPr w:rsidR="004A4093" w:rsidRPr="00F53649" w:rsidSect="00C856F0">
      <w:type w:val="continuous"/>
      <w:pgSz w:w="11906" w:h="16838"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9DACE" w14:textId="77777777" w:rsidR="00147224" w:rsidRDefault="00147224" w:rsidP="00147224">
      <w:pPr>
        <w:spacing w:after="0" w:line="240" w:lineRule="auto"/>
      </w:pPr>
      <w:r>
        <w:separator/>
      </w:r>
    </w:p>
  </w:endnote>
  <w:endnote w:type="continuationSeparator" w:id="0">
    <w:p w14:paraId="08776CCC" w14:textId="77777777" w:rsidR="00147224" w:rsidRDefault="00147224" w:rsidP="00147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dvGulliv-R">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3600B" w14:textId="77777777" w:rsidR="00147224" w:rsidRDefault="00147224" w:rsidP="00147224">
      <w:pPr>
        <w:spacing w:after="0" w:line="240" w:lineRule="auto"/>
      </w:pPr>
      <w:r>
        <w:separator/>
      </w:r>
    </w:p>
  </w:footnote>
  <w:footnote w:type="continuationSeparator" w:id="0">
    <w:p w14:paraId="6E68C698" w14:textId="77777777" w:rsidR="00147224" w:rsidRDefault="00147224" w:rsidP="00147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32D9"/>
    <w:multiLevelType w:val="hybridMultilevel"/>
    <w:tmpl w:val="196EF3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3196E"/>
    <w:multiLevelType w:val="hybridMultilevel"/>
    <w:tmpl w:val="133C4E4C"/>
    <w:lvl w:ilvl="0" w:tplc="F2485A2E">
      <w:start w:val="1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D40A8"/>
    <w:multiLevelType w:val="multilevel"/>
    <w:tmpl w:val="4E86CD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21445D51"/>
    <w:multiLevelType w:val="hybridMultilevel"/>
    <w:tmpl w:val="AF04972C"/>
    <w:lvl w:ilvl="0" w:tplc="852ECC6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E7B44"/>
    <w:multiLevelType w:val="hybridMultilevel"/>
    <w:tmpl w:val="89806106"/>
    <w:lvl w:ilvl="0" w:tplc="ACACDA7A">
      <w:start w:val="1"/>
      <w:numFmt w:val="bullet"/>
      <w:lvlText w:val="-"/>
      <w:lvlJc w:val="left"/>
      <w:pPr>
        <w:tabs>
          <w:tab w:val="num" w:pos="720"/>
        </w:tabs>
        <w:ind w:left="720" w:hanging="360"/>
      </w:pPr>
      <w:rPr>
        <w:rFonts w:ascii="Times New Roman" w:hAnsi="Times New Roman" w:hint="default"/>
      </w:rPr>
    </w:lvl>
    <w:lvl w:ilvl="1" w:tplc="2464827A" w:tentative="1">
      <w:start w:val="1"/>
      <w:numFmt w:val="bullet"/>
      <w:lvlText w:val="-"/>
      <w:lvlJc w:val="left"/>
      <w:pPr>
        <w:tabs>
          <w:tab w:val="num" w:pos="1440"/>
        </w:tabs>
        <w:ind w:left="1440" w:hanging="360"/>
      </w:pPr>
      <w:rPr>
        <w:rFonts w:ascii="Times New Roman" w:hAnsi="Times New Roman" w:hint="default"/>
      </w:rPr>
    </w:lvl>
    <w:lvl w:ilvl="2" w:tplc="EF203EC4" w:tentative="1">
      <w:start w:val="1"/>
      <w:numFmt w:val="bullet"/>
      <w:lvlText w:val="-"/>
      <w:lvlJc w:val="left"/>
      <w:pPr>
        <w:tabs>
          <w:tab w:val="num" w:pos="2160"/>
        </w:tabs>
        <w:ind w:left="2160" w:hanging="360"/>
      </w:pPr>
      <w:rPr>
        <w:rFonts w:ascii="Times New Roman" w:hAnsi="Times New Roman" w:hint="default"/>
      </w:rPr>
    </w:lvl>
    <w:lvl w:ilvl="3" w:tplc="3C8AE47A" w:tentative="1">
      <w:start w:val="1"/>
      <w:numFmt w:val="bullet"/>
      <w:lvlText w:val="-"/>
      <w:lvlJc w:val="left"/>
      <w:pPr>
        <w:tabs>
          <w:tab w:val="num" w:pos="2880"/>
        </w:tabs>
        <w:ind w:left="2880" w:hanging="360"/>
      </w:pPr>
      <w:rPr>
        <w:rFonts w:ascii="Times New Roman" w:hAnsi="Times New Roman" w:hint="default"/>
      </w:rPr>
    </w:lvl>
    <w:lvl w:ilvl="4" w:tplc="B66AAA46" w:tentative="1">
      <w:start w:val="1"/>
      <w:numFmt w:val="bullet"/>
      <w:lvlText w:val="-"/>
      <w:lvlJc w:val="left"/>
      <w:pPr>
        <w:tabs>
          <w:tab w:val="num" w:pos="3600"/>
        </w:tabs>
        <w:ind w:left="3600" w:hanging="360"/>
      </w:pPr>
      <w:rPr>
        <w:rFonts w:ascii="Times New Roman" w:hAnsi="Times New Roman" w:hint="default"/>
      </w:rPr>
    </w:lvl>
    <w:lvl w:ilvl="5" w:tplc="C206E566" w:tentative="1">
      <w:start w:val="1"/>
      <w:numFmt w:val="bullet"/>
      <w:lvlText w:val="-"/>
      <w:lvlJc w:val="left"/>
      <w:pPr>
        <w:tabs>
          <w:tab w:val="num" w:pos="4320"/>
        </w:tabs>
        <w:ind w:left="4320" w:hanging="360"/>
      </w:pPr>
      <w:rPr>
        <w:rFonts w:ascii="Times New Roman" w:hAnsi="Times New Roman" w:hint="default"/>
      </w:rPr>
    </w:lvl>
    <w:lvl w:ilvl="6" w:tplc="357AF5D2" w:tentative="1">
      <w:start w:val="1"/>
      <w:numFmt w:val="bullet"/>
      <w:lvlText w:val="-"/>
      <w:lvlJc w:val="left"/>
      <w:pPr>
        <w:tabs>
          <w:tab w:val="num" w:pos="5040"/>
        </w:tabs>
        <w:ind w:left="5040" w:hanging="360"/>
      </w:pPr>
      <w:rPr>
        <w:rFonts w:ascii="Times New Roman" w:hAnsi="Times New Roman" w:hint="default"/>
      </w:rPr>
    </w:lvl>
    <w:lvl w:ilvl="7" w:tplc="07EC466A" w:tentative="1">
      <w:start w:val="1"/>
      <w:numFmt w:val="bullet"/>
      <w:lvlText w:val="-"/>
      <w:lvlJc w:val="left"/>
      <w:pPr>
        <w:tabs>
          <w:tab w:val="num" w:pos="5760"/>
        </w:tabs>
        <w:ind w:left="5760" w:hanging="360"/>
      </w:pPr>
      <w:rPr>
        <w:rFonts w:ascii="Times New Roman" w:hAnsi="Times New Roman" w:hint="default"/>
      </w:rPr>
    </w:lvl>
    <w:lvl w:ilvl="8" w:tplc="A2ECE75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E260E"/>
    <w:multiLevelType w:val="multilevel"/>
    <w:tmpl w:val="231EA6C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2A0E264B"/>
    <w:multiLevelType w:val="hybridMultilevel"/>
    <w:tmpl w:val="B0B25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770877"/>
    <w:multiLevelType w:val="hybridMultilevel"/>
    <w:tmpl w:val="BC7EE8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42256D"/>
    <w:multiLevelType w:val="hybridMultilevel"/>
    <w:tmpl w:val="0826ED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630145"/>
    <w:multiLevelType w:val="hybridMultilevel"/>
    <w:tmpl w:val="F3E66282"/>
    <w:lvl w:ilvl="0" w:tplc="025E30A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15:restartNumberingAfterBreak="0">
    <w:nsid w:val="3BE57AC2"/>
    <w:multiLevelType w:val="multilevel"/>
    <w:tmpl w:val="6BDA13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1F3E82"/>
    <w:multiLevelType w:val="hybridMultilevel"/>
    <w:tmpl w:val="1CCE8264"/>
    <w:lvl w:ilvl="0" w:tplc="5A9226CE">
      <w:start w:val="1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5D1CE6"/>
    <w:multiLevelType w:val="multilevel"/>
    <w:tmpl w:val="940AB5F4"/>
    <w:lvl w:ilvl="0">
      <w:start w:val="1"/>
      <w:numFmt w:val="decimal"/>
      <w:pStyle w:val="Style1"/>
      <w:lvlText w:val="%1."/>
      <w:lvlJc w:val="left"/>
      <w:pPr>
        <w:ind w:left="360" w:hanging="360"/>
      </w:pPr>
    </w:lvl>
    <w:lvl w:ilvl="1">
      <w:start w:val="1"/>
      <w:numFmt w:val="decimal"/>
      <w:pStyle w:val="Style2"/>
      <w:lvlText w:val="%1.%2."/>
      <w:lvlJc w:val="left"/>
      <w:pPr>
        <w:ind w:left="792" w:hanging="432"/>
      </w:pPr>
    </w:lvl>
    <w:lvl w:ilvl="2">
      <w:start w:val="1"/>
      <w:numFmt w:val="decimal"/>
      <w:pStyle w:val="Styl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35328C"/>
    <w:multiLevelType w:val="hybridMultilevel"/>
    <w:tmpl w:val="A802D3F2"/>
    <w:lvl w:ilvl="0" w:tplc="A3488176">
      <w:start w:val="1"/>
      <w:numFmt w:val="decimal"/>
      <w:lvlText w:val="%1."/>
      <w:lvlJc w:val="left"/>
      <w:pPr>
        <w:tabs>
          <w:tab w:val="num" w:pos="720"/>
        </w:tabs>
        <w:ind w:left="720" w:hanging="360"/>
      </w:pPr>
    </w:lvl>
    <w:lvl w:ilvl="1" w:tplc="F77CFB8C" w:tentative="1">
      <w:start w:val="1"/>
      <w:numFmt w:val="decimal"/>
      <w:lvlText w:val="%2."/>
      <w:lvlJc w:val="left"/>
      <w:pPr>
        <w:tabs>
          <w:tab w:val="num" w:pos="1440"/>
        </w:tabs>
        <w:ind w:left="1440" w:hanging="360"/>
      </w:pPr>
    </w:lvl>
    <w:lvl w:ilvl="2" w:tplc="DED668BE" w:tentative="1">
      <w:start w:val="1"/>
      <w:numFmt w:val="decimal"/>
      <w:lvlText w:val="%3."/>
      <w:lvlJc w:val="left"/>
      <w:pPr>
        <w:tabs>
          <w:tab w:val="num" w:pos="2160"/>
        </w:tabs>
        <w:ind w:left="2160" w:hanging="360"/>
      </w:pPr>
    </w:lvl>
    <w:lvl w:ilvl="3" w:tplc="D1FE7B3A" w:tentative="1">
      <w:start w:val="1"/>
      <w:numFmt w:val="decimal"/>
      <w:lvlText w:val="%4."/>
      <w:lvlJc w:val="left"/>
      <w:pPr>
        <w:tabs>
          <w:tab w:val="num" w:pos="2880"/>
        </w:tabs>
        <w:ind w:left="2880" w:hanging="360"/>
      </w:pPr>
    </w:lvl>
    <w:lvl w:ilvl="4" w:tplc="050601A2" w:tentative="1">
      <w:start w:val="1"/>
      <w:numFmt w:val="decimal"/>
      <w:lvlText w:val="%5."/>
      <w:lvlJc w:val="left"/>
      <w:pPr>
        <w:tabs>
          <w:tab w:val="num" w:pos="3600"/>
        </w:tabs>
        <w:ind w:left="3600" w:hanging="360"/>
      </w:pPr>
    </w:lvl>
    <w:lvl w:ilvl="5" w:tplc="EDB287D6" w:tentative="1">
      <w:start w:val="1"/>
      <w:numFmt w:val="decimal"/>
      <w:lvlText w:val="%6."/>
      <w:lvlJc w:val="left"/>
      <w:pPr>
        <w:tabs>
          <w:tab w:val="num" w:pos="4320"/>
        </w:tabs>
        <w:ind w:left="4320" w:hanging="360"/>
      </w:pPr>
    </w:lvl>
    <w:lvl w:ilvl="6" w:tplc="9C9A717C" w:tentative="1">
      <w:start w:val="1"/>
      <w:numFmt w:val="decimal"/>
      <w:lvlText w:val="%7."/>
      <w:lvlJc w:val="left"/>
      <w:pPr>
        <w:tabs>
          <w:tab w:val="num" w:pos="5040"/>
        </w:tabs>
        <w:ind w:left="5040" w:hanging="360"/>
      </w:pPr>
    </w:lvl>
    <w:lvl w:ilvl="7" w:tplc="FBC2E7A2" w:tentative="1">
      <w:start w:val="1"/>
      <w:numFmt w:val="decimal"/>
      <w:lvlText w:val="%8."/>
      <w:lvlJc w:val="left"/>
      <w:pPr>
        <w:tabs>
          <w:tab w:val="num" w:pos="5760"/>
        </w:tabs>
        <w:ind w:left="5760" w:hanging="360"/>
      </w:pPr>
    </w:lvl>
    <w:lvl w:ilvl="8" w:tplc="DB70E90C" w:tentative="1">
      <w:start w:val="1"/>
      <w:numFmt w:val="decimal"/>
      <w:lvlText w:val="%9."/>
      <w:lvlJc w:val="left"/>
      <w:pPr>
        <w:tabs>
          <w:tab w:val="num" w:pos="6480"/>
        </w:tabs>
        <w:ind w:left="6480" w:hanging="360"/>
      </w:pPr>
    </w:lvl>
  </w:abstractNum>
  <w:abstractNum w:abstractNumId="14" w15:restartNumberingAfterBreak="0">
    <w:nsid w:val="4E3874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5904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1426FC"/>
    <w:multiLevelType w:val="multilevel"/>
    <w:tmpl w:val="7416CE9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17" w15:restartNumberingAfterBreak="0">
    <w:nsid w:val="51457D21"/>
    <w:multiLevelType w:val="hybridMultilevel"/>
    <w:tmpl w:val="F7E0E6E0"/>
    <w:lvl w:ilvl="0" w:tplc="CA8CE1AA">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8D35F74"/>
    <w:multiLevelType w:val="multilevel"/>
    <w:tmpl w:val="7416C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BD459A"/>
    <w:multiLevelType w:val="multilevel"/>
    <w:tmpl w:val="0E88F6DA"/>
    <w:lvl w:ilvl="0">
      <w:start w:val="1"/>
      <w:numFmt w:val="upperLetter"/>
      <w:pStyle w:val="Heading1"/>
      <w:lvlText w:val="%1."/>
      <w:lvlJc w:val="left"/>
      <w:pPr>
        <w:ind w:left="0" w:firstLine="0"/>
      </w:pPr>
      <w:rPr>
        <w:rFonts w:hint="default"/>
      </w:rPr>
    </w:lvl>
    <w:lvl w:ilvl="1">
      <w:start w:val="1"/>
      <w:numFmt w:val="decimal"/>
      <w:pStyle w:val="Heading2"/>
      <w:lvlText w:val="%2."/>
      <w:lvlJc w:val="left"/>
      <w:pPr>
        <w:ind w:left="720" w:firstLine="0"/>
      </w:pPr>
      <w:rPr>
        <w:rFonts w:hint="default"/>
      </w:rPr>
    </w:lvl>
    <w:lvl w:ilvl="2">
      <w:start w:val="1"/>
      <w:numFmt w:val="lowerRoman"/>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0" w15:restartNumberingAfterBreak="0">
    <w:nsid w:val="65041356"/>
    <w:multiLevelType w:val="hybridMultilevel"/>
    <w:tmpl w:val="F3884ECA"/>
    <w:lvl w:ilvl="0" w:tplc="0409000F">
      <w:start w:val="1"/>
      <w:numFmt w:val="decimal"/>
      <w:lvlText w:val="%1."/>
      <w:lvlJc w:val="left"/>
      <w:pPr>
        <w:ind w:left="764" w:hanging="360"/>
      </w:p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1" w15:restartNumberingAfterBreak="0">
    <w:nsid w:val="71691EFD"/>
    <w:multiLevelType w:val="multilevel"/>
    <w:tmpl w:val="AD8C87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A4F0C75"/>
    <w:multiLevelType w:val="hybridMultilevel"/>
    <w:tmpl w:val="F8183FBC"/>
    <w:lvl w:ilvl="0" w:tplc="C574AD8A">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21"/>
  </w:num>
  <w:num w:numId="4">
    <w:abstractNumId w:val="12"/>
  </w:num>
  <w:num w:numId="5">
    <w:abstractNumId w:val="1"/>
  </w:num>
  <w:num w:numId="6">
    <w:abstractNumId w:val="13"/>
  </w:num>
  <w:num w:numId="7">
    <w:abstractNumId w:val="4"/>
  </w:num>
  <w:num w:numId="8">
    <w:abstractNumId w:val="6"/>
  </w:num>
  <w:num w:numId="9">
    <w:abstractNumId w:val="0"/>
  </w:num>
  <w:num w:numId="10">
    <w:abstractNumId w:val="3"/>
  </w:num>
  <w:num w:numId="11">
    <w:abstractNumId w:val="15"/>
  </w:num>
  <w:num w:numId="12">
    <w:abstractNumId w:val="22"/>
  </w:num>
  <w:num w:numId="13">
    <w:abstractNumId w:val="11"/>
  </w:num>
  <w:num w:numId="14">
    <w:abstractNumId w:val="17"/>
  </w:num>
  <w:num w:numId="15">
    <w:abstractNumId w:val="18"/>
  </w:num>
  <w:num w:numId="16">
    <w:abstractNumId w:val="7"/>
  </w:num>
  <w:num w:numId="17">
    <w:abstractNumId w:val="14"/>
  </w:num>
  <w:num w:numId="18">
    <w:abstractNumId w:val="20"/>
  </w:num>
  <w:num w:numId="19">
    <w:abstractNumId w:val="9"/>
  </w:num>
  <w:num w:numId="20">
    <w:abstractNumId w:val="10"/>
  </w:num>
  <w:num w:numId="21">
    <w:abstractNumId w:val="2"/>
  </w:num>
  <w:num w:numId="22">
    <w:abstractNumId w:val="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239"/>
    <w:rsid w:val="000368E3"/>
    <w:rsid w:val="00147224"/>
    <w:rsid w:val="002C48E9"/>
    <w:rsid w:val="003715E3"/>
    <w:rsid w:val="00377F27"/>
    <w:rsid w:val="003B16C6"/>
    <w:rsid w:val="004A4093"/>
    <w:rsid w:val="004C6DF1"/>
    <w:rsid w:val="004D599B"/>
    <w:rsid w:val="00635137"/>
    <w:rsid w:val="00642AB3"/>
    <w:rsid w:val="00644640"/>
    <w:rsid w:val="00665303"/>
    <w:rsid w:val="00667239"/>
    <w:rsid w:val="006B77FE"/>
    <w:rsid w:val="00712532"/>
    <w:rsid w:val="00713863"/>
    <w:rsid w:val="00750CDB"/>
    <w:rsid w:val="00901FD9"/>
    <w:rsid w:val="009D1331"/>
    <w:rsid w:val="00A77A1C"/>
    <w:rsid w:val="00B24E50"/>
    <w:rsid w:val="00B93144"/>
    <w:rsid w:val="00C856F0"/>
    <w:rsid w:val="00DF25B1"/>
    <w:rsid w:val="00E513C9"/>
    <w:rsid w:val="00F25242"/>
    <w:rsid w:val="00F33F6E"/>
    <w:rsid w:val="00F35A8D"/>
    <w:rsid w:val="00F53649"/>
    <w:rsid w:val="00FF2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69887"/>
  <w15:chartTrackingRefBased/>
  <w15:docId w15:val="{CF21F1CD-5806-48E4-8807-39CBC5A5B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532"/>
  </w:style>
  <w:style w:type="paragraph" w:styleId="Heading1">
    <w:name w:val="heading 1"/>
    <w:basedOn w:val="Normal"/>
    <w:next w:val="Normal"/>
    <w:link w:val="Heading1Char"/>
    <w:uiPriority w:val="9"/>
    <w:qFormat/>
    <w:rsid w:val="00712532"/>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12532"/>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12532"/>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12532"/>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712532"/>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712532"/>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12532"/>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1253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1253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53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1253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1253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1253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71253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71253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1253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1253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12532"/>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712532"/>
    <w:rPr>
      <w:sz w:val="16"/>
      <w:szCs w:val="16"/>
    </w:rPr>
  </w:style>
  <w:style w:type="paragraph" w:styleId="CommentText">
    <w:name w:val="annotation text"/>
    <w:basedOn w:val="Normal"/>
    <w:link w:val="CommentTextChar"/>
    <w:uiPriority w:val="99"/>
    <w:unhideWhenUsed/>
    <w:rsid w:val="00712532"/>
    <w:pPr>
      <w:spacing w:line="240" w:lineRule="auto"/>
    </w:pPr>
    <w:rPr>
      <w:sz w:val="20"/>
      <w:szCs w:val="20"/>
    </w:rPr>
  </w:style>
  <w:style w:type="character" w:customStyle="1" w:styleId="CommentTextChar">
    <w:name w:val="Comment Text Char"/>
    <w:basedOn w:val="DefaultParagraphFont"/>
    <w:link w:val="CommentText"/>
    <w:uiPriority w:val="99"/>
    <w:rsid w:val="00712532"/>
    <w:rPr>
      <w:sz w:val="20"/>
      <w:szCs w:val="20"/>
    </w:rPr>
  </w:style>
  <w:style w:type="paragraph" w:customStyle="1" w:styleId="Normal1">
    <w:name w:val="Normal1"/>
    <w:basedOn w:val="Normal"/>
    <w:link w:val="Normal1Char"/>
    <w:qFormat/>
    <w:rsid w:val="00712532"/>
    <w:rPr>
      <w:rFonts w:ascii="Arial" w:hAnsi="Arial" w:cs="Arial"/>
      <w:color w:val="222222"/>
      <w:sz w:val="20"/>
      <w:szCs w:val="20"/>
      <w:shd w:val="clear" w:color="auto" w:fill="FFFFFF"/>
    </w:rPr>
  </w:style>
  <w:style w:type="character" w:customStyle="1" w:styleId="Normal1Char">
    <w:name w:val="Normal1 Char"/>
    <w:basedOn w:val="DefaultParagraphFont"/>
    <w:link w:val="Normal1"/>
    <w:rsid w:val="00712532"/>
    <w:rPr>
      <w:rFonts w:ascii="Arial" w:hAnsi="Arial" w:cs="Arial"/>
      <w:color w:val="222222"/>
      <w:sz w:val="20"/>
      <w:szCs w:val="20"/>
    </w:rPr>
  </w:style>
  <w:style w:type="paragraph" w:styleId="Title">
    <w:name w:val="Title"/>
    <w:basedOn w:val="Normal"/>
    <w:next w:val="Normal"/>
    <w:link w:val="TitleChar"/>
    <w:uiPriority w:val="10"/>
    <w:qFormat/>
    <w:rsid w:val="001472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224"/>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147224"/>
    <w:pPr>
      <w:ind w:left="720"/>
      <w:contextualSpacing/>
    </w:pPr>
  </w:style>
  <w:style w:type="paragraph" w:customStyle="1" w:styleId="Style2">
    <w:name w:val="Style2"/>
    <w:basedOn w:val="ListParagraph"/>
    <w:link w:val="Style2Char"/>
    <w:qFormat/>
    <w:rsid w:val="00147224"/>
    <w:pPr>
      <w:numPr>
        <w:ilvl w:val="1"/>
        <w:numId w:val="4"/>
      </w:numPr>
      <w:tabs>
        <w:tab w:val="num" w:pos="360"/>
      </w:tabs>
      <w:ind w:left="720" w:firstLine="0"/>
    </w:pPr>
    <w:rPr>
      <w:rFonts w:ascii="Arial" w:hAnsi="Arial" w:cs="Arial"/>
      <w:b/>
      <w:bCs/>
      <w:color w:val="222222"/>
      <w:sz w:val="20"/>
      <w:szCs w:val="20"/>
      <w:shd w:val="clear" w:color="auto" w:fill="FFFFFF"/>
    </w:rPr>
  </w:style>
  <w:style w:type="paragraph" w:customStyle="1" w:styleId="Style1">
    <w:name w:val="Style1"/>
    <w:basedOn w:val="ListParagraph"/>
    <w:link w:val="Style1Char"/>
    <w:qFormat/>
    <w:rsid w:val="00147224"/>
    <w:pPr>
      <w:numPr>
        <w:numId w:val="4"/>
      </w:numPr>
    </w:pPr>
    <w:rPr>
      <w:rFonts w:ascii="Arial" w:hAnsi="Arial" w:cs="Arial"/>
      <w:b/>
      <w:bCs/>
      <w:color w:val="222222"/>
      <w:sz w:val="20"/>
      <w:szCs w:val="20"/>
      <w:shd w:val="clear" w:color="auto" w:fill="FFFFFF"/>
    </w:rPr>
  </w:style>
  <w:style w:type="character" w:customStyle="1" w:styleId="ListParagraphChar">
    <w:name w:val="List Paragraph Char"/>
    <w:basedOn w:val="DefaultParagraphFont"/>
    <w:link w:val="ListParagraph"/>
    <w:uiPriority w:val="34"/>
    <w:rsid w:val="00147224"/>
  </w:style>
  <w:style w:type="character" w:customStyle="1" w:styleId="Style1Char">
    <w:name w:val="Style1 Char"/>
    <w:basedOn w:val="ListParagraphChar"/>
    <w:link w:val="Style1"/>
    <w:rsid w:val="00147224"/>
    <w:rPr>
      <w:rFonts w:ascii="Arial" w:hAnsi="Arial" w:cs="Arial"/>
      <w:b/>
      <w:bCs/>
      <w:color w:val="222222"/>
      <w:sz w:val="20"/>
      <w:szCs w:val="20"/>
    </w:rPr>
  </w:style>
  <w:style w:type="paragraph" w:customStyle="1" w:styleId="Style3">
    <w:name w:val="Style3"/>
    <w:basedOn w:val="ListParagraph"/>
    <w:link w:val="Style3Char"/>
    <w:qFormat/>
    <w:rsid w:val="00147224"/>
    <w:pPr>
      <w:numPr>
        <w:ilvl w:val="2"/>
        <w:numId w:val="4"/>
      </w:numPr>
      <w:tabs>
        <w:tab w:val="num" w:pos="360"/>
      </w:tabs>
      <w:ind w:left="720" w:firstLine="0"/>
    </w:pPr>
    <w:rPr>
      <w:rFonts w:ascii="Arial" w:hAnsi="Arial" w:cs="Arial"/>
      <w:i/>
      <w:iCs/>
      <w:color w:val="222222"/>
      <w:sz w:val="20"/>
      <w:szCs w:val="20"/>
      <w:shd w:val="clear" w:color="auto" w:fill="FFFFFF"/>
    </w:rPr>
  </w:style>
  <w:style w:type="paragraph" w:styleId="CommentSubject">
    <w:name w:val="annotation subject"/>
    <w:basedOn w:val="CommentText"/>
    <w:next w:val="CommentText"/>
    <w:link w:val="CommentSubjectChar"/>
    <w:uiPriority w:val="99"/>
    <w:semiHidden/>
    <w:unhideWhenUsed/>
    <w:rsid w:val="00147224"/>
    <w:rPr>
      <w:b/>
      <w:bCs/>
    </w:rPr>
  </w:style>
  <w:style w:type="character" w:customStyle="1" w:styleId="CommentSubjectChar">
    <w:name w:val="Comment Subject Char"/>
    <w:basedOn w:val="CommentTextChar"/>
    <w:link w:val="CommentSubject"/>
    <w:uiPriority w:val="99"/>
    <w:semiHidden/>
    <w:rsid w:val="00147224"/>
    <w:rPr>
      <w:b/>
      <w:bCs/>
      <w:sz w:val="20"/>
      <w:szCs w:val="20"/>
    </w:rPr>
  </w:style>
  <w:style w:type="paragraph" w:styleId="FootnoteText">
    <w:name w:val="footnote text"/>
    <w:basedOn w:val="Normal"/>
    <w:link w:val="FootnoteTextChar"/>
    <w:uiPriority w:val="99"/>
    <w:semiHidden/>
    <w:unhideWhenUsed/>
    <w:rsid w:val="001472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7224"/>
    <w:rPr>
      <w:sz w:val="20"/>
      <w:szCs w:val="20"/>
    </w:rPr>
  </w:style>
  <w:style w:type="character" w:styleId="FootnoteReference">
    <w:name w:val="footnote reference"/>
    <w:basedOn w:val="DefaultParagraphFont"/>
    <w:uiPriority w:val="99"/>
    <w:semiHidden/>
    <w:unhideWhenUsed/>
    <w:rsid w:val="00147224"/>
    <w:rPr>
      <w:vertAlign w:val="superscript"/>
    </w:rPr>
  </w:style>
  <w:style w:type="character" w:styleId="Hyperlink">
    <w:name w:val="Hyperlink"/>
    <w:basedOn w:val="DefaultParagraphFont"/>
    <w:uiPriority w:val="99"/>
    <w:unhideWhenUsed/>
    <w:rsid w:val="00147224"/>
    <w:rPr>
      <w:color w:val="0563C1" w:themeColor="hyperlink"/>
      <w:u w:val="single"/>
    </w:rPr>
  </w:style>
  <w:style w:type="character" w:styleId="UnresolvedMention">
    <w:name w:val="Unresolved Mention"/>
    <w:basedOn w:val="DefaultParagraphFont"/>
    <w:uiPriority w:val="99"/>
    <w:semiHidden/>
    <w:unhideWhenUsed/>
    <w:rsid w:val="00147224"/>
    <w:rPr>
      <w:color w:val="605E5C"/>
      <w:shd w:val="clear" w:color="auto" w:fill="E1DFDD"/>
    </w:rPr>
  </w:style>
  <w:style w:type="character" w:styleId="FollowedHyperlink">
    <w:name w:val="FollowedHyperlink"/>
    <w:basedOn w:val="DefaultParagraphFont"/>
    <w:uiPriority w:val="99"/>
    <w:semiHidden/>
    <w:unhideWhenUsed/>
    <w:rsid w:val="00147224"/>
    <w:rPr>
      <w:color w:val="954F72" w:themeColor="followedHyperlink"/>
      <w:u w:val="single"/>
    </w:rPr>
  </w:style>
  <w:style w:type="paragraph" w:styleId="NormalWeb">
    <w:name w:val="Normal (Web)"/>
    <w:basedOn w:val="Normal"/>
    <w:uiPriority w:val="99"/>
    <w:unhideWhenUsed/>
    <w:rsid w:val="00147224"/>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147224"/>
    <w:rPr>
      <w:color w:val="808080"/>
    </w:rPr>
  </w:style>
  <w:style w:type="paragraph" w:styleId="Header">
    <w:name w:val="header"/>
    <w:basedOn w:val="Normal"/>
    <w:link w:val="HeaderChar"/>
    <w:uiPriority w:val="99"/>
    <w:unhideWhenUsed/>
    <w:rsid w:val="00147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224"/>
  </w:style>
  <w:style w:type="paragraph" w:styleId="Footer">
    <w:name w:val="footer"/>
    <w:basedOn w:val="Normal"/>
    <w:link w:val="FooterChar"/>
    <w:uiPriority w:val="99"/>
    <w:unhideWhenUsed/>
    <w:rsid w:val="00147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224"/>
  </w:style>
  <w:style w:type="character" w:styleId="SubtleEmphasis">
    <w:name w:val="Subtle Emphasis"/>
    <w:basedOn w:val="DefaultParagraphFont"/>
    <w:uiPriority w:val="19"/>
    <w:qFormat/>
    <w:rsid w:val="00147224"/>
    <w:rPr>
      <w:i/>
      <w:iCs/>
      <w:color w:val="404040" w:themeColor="text1" w:themeTint="BF"/>
    </w:rPr>
  </w:style>
  <w:style w:type="character" w:customStyle="1" w:styleId="Style2Char">
    <w:name w:val="Style2 Char"/>
    <w:basedOn w:val="ListParagraphChar"/>
    <w:link w:val="Style2"/>
    <w:rsid w:val="00147224"/>
    <w:rPr>
      <w:rFonts w:ascii="Arial" w:hAnsi="Arial" w:cs="Arial"/>
      <w:b/>
      <w:bCs/>
      <w:color w:val="222222"/>
      <w:sz w:val="20"/>
      <w:szCs w:val="20"/>
    </w:rPr>
  </w:style>
  <w:style w:type="paragraph" w:customStyle="1" w:styleId="Title1">
    <w:name w:val="Title1"/>
    <w:basedOn w:val="Normal"/>
    <w:link w:val="Title1Char"/>
    <w:qFormat/>
    <w:rsid w:val="00147224"/>
    <w:pPr>
      <w:jc w:val="center"/>
    </w:pPr>
    <w:rPr>
      <w:rFonts w:ascii="Arial" w:hAnsi="Arial" w:cs="Arial"/>
      <w:b/>
      <w:bCs/>
      <w:color w:val="222222"/>
      <w:sz w:val="24"/>
      <w:szCs w:val="24"/>
      <w:shd w:val="clear" w:color="auto" w:fill="FFFFFF"/>
    </w:rPr>
  </w:style>
  <w:style w:type="character" w:customStyle="1" w:styleId="Title1Char">
    <w:name w:val="Title1 Char"/>
    <w:basedOn w:val="DefaultParagraphFont"/>
    <w:link w:val="Title1"/>
    <w:rsid w:val="00147224"/>
    <w:rPr>
      <w:rFonts w:ascii="Arial" w:hAnsi="Arial" w:cs="Arial"/>
      <w:b/>
      <w:bCs/>
      <w:color w:val="222222"/>
      <w:sz w:val="24"/>
      <w:szCs w:val="24"/>
    </w:rPr>
  </w:style>
  <w:style w:type="paragraph" w:customStyle="1" w:styleId="References">
    <w:name w:val="References"/>
    <w:basedOn w:val="Normal"/>
    <w:link w:val="ReferencesChar"/>
    <w:qFormat/>
    <w:rsid w:val="00147224"/>
    <w:pPr>
      <w:autoSpaceDE w:val="0"/>
      <w:autoSpaceDN w:val="0"/>
      <w:adjustRightInd w:val="0"/>
      <w:spacing w:after="0" w:line="240" w:lineRule="auto"/>
    </w:pPr>
    <w:rPr>
      <w:rFonts w:ascii="AdvGulliv-R" w:hAnsi="AdvGulliv-R" w:cs="AdvGulliv-R"/>
      <w:color w:val="000000"/>
      <w:sz w:val="19"/>
      <w:szCs w:val="19"/>
      <w:lang w:val="fr-FR"/>
    </w:rPr>
  </w:style>
  <w:style w:type="character" w:customStyle="1" w:styleId="Style3Char">
    <w:name w:val="Style3 Char"/>
    <w:basedOn w:val="ListParagraphChar"/>
    <w:link w:val="Style3"/>
    <w:rsid w:val="00147224"/>
    <w:rPr>
      <w:rFonts w:ascii="Arial" w:hAnsi="Arial" w:cs="Arial"/>
      <w:i/>
      <w:iCs/>
      <w:color w:val="222222"/>
      <w:sz w:val="20"/>
      <w:szCs w:val="20"/>
    </w:rPr>
  </w:style>
  <w:style w:type="paragraph" w:styleId="Revision">
    <w:name w:val="Revision"/>
    <w:hidden/>
    <w:uiPriority w:val="99"/>
    <w:semiHidden/>
    <w:rsid w:val="00147224"/>
    <w:pPr>
      <w:spacing w:after="0" w:line="240" w:lineRule="auto"/>
    </w:pPr>
  </w:style>
  <w:style w:type="character" w:customStyle="1" w:styleId="ReferencesChar">
    <w:name w:val="References Char"/>
    <w:basedOn w:val="DefaultParagraphFont"/>
    <w:link w:val="References"/>
    <w:rsid w:val="00147224"/>
    <w:rPr>
      <w:rFonts w:ascii="AdvGulliv-R" w:hAnsi="AdvGulliv-R" w:cs="AdvGulliv-R"/>
      <w:color w:val="000000"/>
      <w:sz w:val="19"/>
      <w:szCs w:val="19"/>
      <w:lang w:val="fr-FR"/>
    </w:rPr>
  </w:style>
  <w:style w:type="paragraph" w:styleId="Subtitle">
    <w:name w:val="Subtitle"/>
    <w:basedOn w:val="Normal"/>
    <w:next w:val="Normal"/>
    <w:link w:val="SubtitleChar"/>
    <w:uiPriority w:val="11"/>
    <w:qFormat/>
    <w:rsid w:val="0014722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47224"/>
    <w:rPr>
      <w:rFonts w:eastAsiaTheme="minorEastAsia"/>
      <w:color w:val="5A5A5A" w:themeColor="text1" w:themeTint="A5"/>
      <w:spacing w:val="15"/>
    </w:rPr>
  </w:style>
  <w:style w:type="table" w:styleId="TableGrid">
    <w:name w:val="Table Grid"/>
    <w:basedOn w:val="TableNormal"/>
    <w:uiPriority w:val="39"/>
    <w:rsid w:val="00147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4722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7224"/>
    <w:rPr>
      <w:sz w:val="20"/>
      <w:szCs w:val="20"/>
    </w:rPr>
  </w:style>
  <w:style w:type="character" w:styleId="EndnoteReference">
    <w:name w:val="endnote reference"/>
    <w:basedOn w:val="DefaultParagraphFont"/>
    <w:uiPriority w:val="99"/>
    <w:semiHidden/>
    <w:unhideWhenUsed/>
    <w:rsid w:val="00147224"/>
    <w:rPr>
      <w:vertAlign w:val="superscript"/>
    </w:rPr>
  </w:style>
  <w:style w:type="table" w:styleId="PlainTable5">
    <w:name w:val="Plain Table 5"/>
    <w:basedOn w:val="TableNormal"/>
    <w:uiPriority w:val="45"/>
    <w:rsid w:val="0014722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i-provider">
    <w:name w:val="ui-provider"/>
    <w:basedOn w:val="DefaultParagraphFont"/>
    <w:rsid w:val="00147224"/>
  </w:style>
  <w:style w:type="paragraph" w:styleId="Caption">
    <w:name w:val="caption"/>
    <w:basedOn w:val="Normal"/>
    <w:next w:val="Normal"/>
    <w:uiPriority w:val="35"/>
    <w:unhideWhenUsed/>
    <w:qFormat/>
    <w:rsid w:val="00147224"/>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147224"/>
    <w:pPr>
      <w:spacing w:after="0"/>
    </w:pPr>
  </w:style>
  <w:style w:type="character" w:styleId="Strong">
    <w:name w:val="Strong"/>
    <w:basedOn w:val="DefaultParagraphFont"/>
    <w:uiPriority w:val="22"/>
    <w:qFormat/>
    <w:rsid w:val="001472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400910">
      <w:bodyDiv w:val="1"/>
      <w:marLeft w:val="0"/>
      <w:marRight w:val="0"/>
      <w:marTop w:val="0"/>
      <w:marBottom w:val="0"/>
      <w:divBdr>
        <w:top w:val="none" w:sz="0" w:space="0" w:color="auto"/>
        <w:left w:val="none" w:sz="0" w:space="0" w:color="auto"/>
        <w:bottom w:val="none" w:sz="0" w:space="0" w:color="auto"/>
        <w:right w:val="none" w:sz="0" w:space="0" w:color="auto"/>
      </w:divBdr>
    </w:div>
    <w:div w:id="521355509">
      <w:bodyDiv w:val="1"/>
      <w:marLeft w:val="0"/>
      <w:marRight w:val="0"/>
      <w:marTop w:val="0"/>
      <w:marBottom w:val="0"/>
      <w:divBdr>
        <w:top w:val="none" w:sz="0" w:space="0" w:color="auto"/>
        <w:left w:val="none" w:sz="0" w:space="0" w:color="auto"/>
        <w:bottom w:val="none" w:sz="0" w:space="0" w:color="auto"/>
        <w:right w:val="none" w:sz="0" w:space="0" w:color="auto"/>
      </w:divBdr>
    </w:div>
    <w:div w:id="584193613">
      <w:bodyDiv w:val="1"/>
      <w:marLeft w:val="0"/>
      <w:marRight w:val="0"/>
      <w:marTop w:val="0"/>
      <w:marBottom w:val="0"/>
      <w:divBdr>
        <w:top w:val="none" w:sz="0" w:space="0" w:color="auto"/>
        <w:left w:val="none" w:sz="0" w:space="0" w:color="auto"/>
        <w:bottom w:val="none" w:sz="0" w:space="0" w:color="auto"/>
        <w:right w:val="none" w:sz="0" w:space="0" w:color="auto"/>
      </w:divBdr>
    </w:div>
    <w:div w:id="1002511774">
      <w:bodyDiv w:val="1"/>
      <w:marLeft w:val="0"/>
      <w:marRight w:val="0"/>
      <w:marTop w:val="0"/>
      <w:marBottom w:val="0"/>
      <w:divBdr>
        <w:top w:val="none" w:sz="0" w:space="0" w:color="auto"/>
        <w:left w:val="none" w:sz="0" w:space="0" w:color="auto"/>
        <w:bottom w:val="none" w:sz="0" w:space="0" w:color="auto"/>
        <w:right w:val="none" w:sz="0" w:space="0" w:color="auto"/>
      </w:divBdr>
    </w:div>
    <w:div w:id="1005329147">
      <w:bodyDiv w:val="1"/>
      <w:marLeft w:val="0"/>
      <w:marRight w:val="0"/>
      <w:marTop w:val="0"/>
      <w:marBottom w:val="0"/>
      <w:divBdr>
        <w:top w:val="none" w:sz="0" w:space="0" w:color="auto"/>
        <w:left w:val="none" w:sz="0" w:space="0" w:color="auto"/>
        <w:bottom w:val="none" w:sz="0" w:space="0" w:color="auto"/>
        <w:right w:val="none" w:sz="0" w:space="0" w:color="auto"/>
      </w:divBdr>
    </w:div>
    <w:div w:id="130312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DFE9B-EBBC-4CD9-A784-A7E267CBE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1308</Words>
  <Characters>7457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Magrin Giulio</dc:creator>
  <cp:keywords/>
  <dc:description/>
  <cp:lastModifiedBy>Magrin Giulio</cp:lastModifiedBy>
  <cp:revision>10</cp:revision>
  <dcterms:created xsi:type="dcterms:W3CDTF">2025-07-30T10:12:00Z</dcterms:created>
  <dcterms:modified xsi:type="dcterms:W3CDTF">2025-07-31T11:39:00Z</dcterms:modified>
</cp:coreProperties>
</file>