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590A5" w14:textId="65808571" w:rsidR="00147224" w:rsidRPr="001F30D9" w:rsidRDefault="004D599B" w:rsidP="00C856F0">
      <w:pPr>
        <w:keepNext/>
        <w:keepLines/>
        <w:spacing w:before="240" w:after="0"/>
        <w:ind w:left="360"/>
        <w:jc w:val="both"/>
        <w:outlineLvl w:val="0"/>
        <w:rPr>
          <w:rFonts w:asciiTheme="majorHAnsi" w:eastAsiaTheme="majorEastAsia" w:hAnsiTheme="majorHAnsi" w:cstheme="majorBidi"/>
          <w:b/>
          <w:bCs/>
          <w:sz w:val="32"/>
          <w:szCs w:val="32"/>
        </w:rPr>
      </w:pPr>
      <w:r w:rsidRPr="001F30D9">
        <w:rPr>
          <w:rFonts w:asciiTheme="majorHAnsi" w:eastAsiaTheme="majorEastAsia" w:hAnsiTheme="majorHAnsi" w:cstheme="majorBidi"/>
          <w:b/>
          <w:bCs/>
          <w:sz w:val="32"/>
          <w:szCs w:val="32"/>
        </w:rPr>
        <w:t>Definitions</w:t>
      </w:r>
      <w:r w:rsidR="00147224" w:rsidRPr="001F30D9">
        <w:rPr>
          <w:rFonts w:asciiTheme="majorHAnsi" w:eastAsiaTheme="majorEastAsia" w:hAnsiTheme="majorHAnsi" w:cstheme="majorBidi"/>
          <w:b/>
          <w:bCs/>
          <w:sz w:val="32"/>
          <w:szCs w:val="32"/>
        </w:rPr>
        <w:t xml:space="preserve"> of Radiation Quality </w:t>
      </w:r>
      <w:r w:rsidR="001F5B8E" w:rsidRPr="001F30D9">
        <w:rPr>
          <w:rFonts w:asciiTheme="majorHAnsi" w:eastAsiaTheme="majorEastAsia" w:hAnsiTheme="majorHAnsi" w:cstheme="majorBidi"/>
          <w:b/>
          <w:bCs/>
          <w:sz w:val="32"/>
          <w:szCs w:val="32"/>
        </w:rPr>
        <w:t>for</w:t>
      </w:r>
      <w:r w:rsidR="00147224" w:rsidRPr="001F30D9">
        <w:rPr>
          <w:rFonts w:asciiTheme="majorHAnsi" w:eastAsiaTheme="majorEastAsia" w:hAnsiTheme="majorHAnsi" w:cstheme="majorBidi"/>
          <w:b/>
          <w:bCs/>
          <w:sz w:val="32"/>
          <w:szCs w:val="32"/>
        </w:rPr>
        <w:t xml:space="preserve"> ion-beam therapy</w:t>
      </w:r>
    </w:p>
    <w:p w14:paraId="61E6F571" w14:textId="77777777" w:rsidR="00C856F0" w:rsidRPr="00147224" w:rsidRDefault="00C856F0" w:rsidP="00C856F0">
      <w:pPr>
        <w:keepNext/>
        <w:keepLines/>
        <w:spacing w:before="240" w:after="0"/>
        <w:ind w:left="360"/>
        <w:jc w:val="both"/>
        <w:outlineLvl w:val="0"/>
        <w:rPr>
          <w:rFonts w:asciiTheme="majorHAnsi" w:eastAsiaTheme="majorEastAsia" w:hAnsiTheme="majorHAnsi" w:cstheme="majorBidi"/>
          <w:sz w:val="32"/>
          <w:szCs w:val="32"/>
        </w:rPr>
      </w:pPr>
    </w:p>
    <w:p w14:paraId="4AEDA533" w14:textId="77777777" w:rsidR="00C856F0" w:rsidRPr="00405681" w:rsidRDefault="00C856F0" w:rsidP="00C856F0">
      <w:pPr>
        <w:jc w:val="both"/>
        <w:rPr>
          <w:rFonts w:ascii="Calibri" w:hAnsi="Calibri" w:cs="Arial"/>
          <w:sz w:val="20"/>
          <w:szCs w:val="20"/>
          <w:shd w:val="clear" w:color="auto" w:fill="FFFFFF"/>
        </w:rPr>
        <w:sectPr w:rsidR="00C856F0" w:rsidRPr="00405681" w:rsidSect="00C856F0">
          <w:pgSz w:w="11906" w:h="16838" w:code="9"/>
          <w:pgMar w:top="1440" w:right="1440" w:bottom="1440" w:left="1440" w:header="720" w:footer="720" w:gutter="0"/>
          <w:cols w:space="720"/>
          <w:docGrid w:linePitch="360"/>
        </w:sectPr>
      </w:pPr>
    </w:p>
    <w:p w14:paraId="4CDAEF2B" w14:textId="3BB8EC13" w:rsidR="00147224" w:rsidRPr="00405681" w:rsidRDefault="00147224" w:rsidP="00C856F0">
      <w:pPr>
        <w:jc w:val="both"/>
        <w:rPr>
          <w:rFonts w:ascii="Calibri" w:hAnsi="Calibri" w:cs="Arial"/>
          <w:sz w:val="20"/>
          <w:szCs w:val="20"/>
          <w:shd w:val="clear" w:color="auto" w:fill="FFFFFF"/>
        </w:rPr>
      </w:pPr>
      <w:r w:rsidRPr="00405681">
        <w:rPr>
          <w:rFonts w:ascii="Calibri" w:hAnsi="Calibri" w:cs="Arial"/>
          <w:sz w:val="20"/>
          <w:szCs w:val="20"/>
          <w:shd w:val="clear" w:color="auto" w:fill="FFFFFF"/>
        </w:rPr>
        <w:t xml:space="preserve">In today’s ion-beam therapy, radiation quality is mainly expressed using Linear Energy Transfer (LET), and only rarely through lineal energy. </w:t>
      </w:r>
      <w:r w:rsidR="00170AEA">
        <w:rPr>
          <w:rFonts w:ascii="Calibri" w:hAnsi="Calibri" w:cs="Arial"/>
          <w:sz w:val="20"/>
          <w:szCs w:val="20"/>
          <w:shd w:val="clear" w:color="auto" w:fill="FFFFFF"/>
        </w:rPr>
        <w:t>Generally, t</w:t>
      </w:r>
      <w:r w:rsidRPr="00405681">
        <w:rPr>
          <w:rFonts w:ascii="Calibri" w:hAnsi="Calibri" w:cs="Arial"/>
          <w:sz w:val="20"/>
          <w:szCs w:val="20"/>
          <w:shd w:val="clear" w:color="auto" w:fill="FFFFFF"/>
        </w:rPr>
        <w:t xml:space="preserve">he former is estimated through computations, while the latter is derived from microdosimetric experiments. This section focuses on </w:t>
      </w:r>
      <w:r w:rsidR="004B1A57">
        <w:rPr>
          <w:rFonts w:ascii="Calibri" w:hAnsi="Calibri" w:cs="Arial"/>
          <w:sz w:val="20"/>
          <w:szCs w:val="20"/>
          <w:shd w:val="clear" w:color="auto" w:fill="FFFFFF"/>
        </w:rPr>
        <w:t xml:space="preserve">defining the quantities related to </w:t>
      </w:r>
      <w:r w:rsidRPr="00405681">
        <w:rPr>
          <w:rFonts w:ascii="Calibri" w:hAnsi="Calibri" w:cs="Arial"/>
          <w:sz w:val="20"/>
          <w:szCs w:val="20"/>
          <w:shd w:val="clear" w:color="auto" w:fill="FFFFFF"/>
        </w:rPr>
        <w:t xml:space="preserve">these two specifications, deferring to </w:t>
      </w:r>
      <w:r w:rsidR="00405681">
        <w:rPr>
          <w:rFonts w:ascii="Calibri" w:hAnsi="Calibri" w:cs="Arial"/>
          <w:sz w:val="20"/>
          <w:szCs w:val="20"/>
          <w:shd w:val="clear" w:color="auto" w:fill="FFFFFF"/>
        </w:rPr>
        <w:t xml:space="preserve">a different chapter </w:t>
      </w:r>
      <w:r w:rsidRPr="00405681">
        <w:rPr>
          <w:rFonts w:ascii="Calibri" w:hAnsi="Calibri" w:cs="Arial"/>
          <w:sz w:val="20"/>
          <w:szCs w:val="20"/>
          <w:shd w:val="clear" w:color="auto" w:fill="FFFFFF"/>
        </w:rPr>
        <w:t xml:space="preserve">for further discussions on their relationship and the methods used to assess them using passive detectors and active microdosimeters. </w:t>
      </w:r>
      <w:r w:rsidR="00294700" w:rsidRPr="00294700">
        <w:rPr>
          <w:rFonts w:ascii="Calibri" w:hAnsi="Calibri" w:cs="Arial"/>
          <w:sz w:val="20"/>
          <w:szCs w:val="20"/>
          <w:shd w:val="clear" w:color="auto" w:fill="FFFFFF"/>
        </w:rPr>
        <w:t>In addition to the formal definitions detailed in ICRU publications, this text aims to characterize the distinct environment of ion-beam therapy, which employs nearly monoenergetic and highly unidirectional beams.</w:t>
      </w:r>
      <w:r w:rsidR="00294700">
        <w:rPr>
          <w:rFonts w:ascii="Calibri" w:hAnsi="Calibri" w:cs="Arial"/>
          <w:sz w:val="20"/>
          <w:szCs w:val="20"/>
          <w:shd w:val="clear" w:color="auto" w:fill="FFFFFF"/>
        </w:rPr>
        <w:t xml:space="preserve"> </w:t>
      </w:r>
    </w:p>
    <w:p w14:paraId="06162DAD" w14:textId="77777777" w:rsidR="00147224" w:rsidRPr="00405681" w:rsidRDefault="00147224" w:rsidP="00C856F0">
      <w:pPr>
        <w:keepNext/>
        <w:keepLines/>
        <w:numPr>
          <w:ilvl w:val="1"/>
          <w:numId w:val="1"/>
        </w:numPr>
        <w:spacing w:before="40" w:after="0"/>
        <w:jc w:val="both"/>
        <w:outlineLvl w:val="1"/>
        <w:rPr>
          <w:rFonts w:ascii="Calibri" w:eastAsiaTheme="majorEastAsia" w:hAnsi="Calibri" w:cs="Arial"/>
          <w:sz w:val="20"/>
          <w:szCs w:val="20"/>
        </w:rPr>
      </w:pPr>
      <w:r w:rsidRPr="00405681">
        <w:rPr>
          <w:rFonts w:ascii="Calibri" w:eastAsiaTheme="majorEastAsia" w:hAnsi="Calibri" w:cs="Arial"/>
          <w:sz w:val="20"/>
          <w:szCs w:val="20"/>
        </w:rPr>
        <w:t>Definitions</w:t>
      </w:r>
    </w:p>
    <w:p w14:paraId="1BE2EC4A" w14:textId="404565E6" w:rsidR="00147224" w:rsidRPr="00405681" w:rsidRDefault="00147224" w:rsidP="00C856F0">
      <w:pPr>
        <w:jc w:val="both"/>
        <w:rPr>
          <w:rFonts w:ascii="Calibri" w:hAnsi="Calibri" w:cs="Arial"/>
          <w:sz w:val="20"/>
          <w:szCs w:val="20"/>
          <w:shd w:val="clear" w:color="auto" w:fill="FFFFFF"/>
        </w:rPr>
      </w:pPr>
      <w:r w:rsidRPr="00405681">
        <w:rPr>
          <w:rFonts w:ascii="Calibri" w:hAnsi="Calibri" w:cs="Arial"/>
          <w:sz w:val="20"/>
          <w:szCs w:val="20"/>
          <w:shd w:val="clear" w:color="auto" w:fill="FFFFFF"/>
        </w:rPr>
        <w:t>The terminology and quantities related to radiation quality have evolved over time. Some definitions have been modified or adapted, as seen in the different International Commission on Radiation Units and Measurements (ICRU) publications (ICRU 16 vs. ICRU 60) for LET and the description of mean chord length (ICRU 36 vs. ICRU 98). Below is a logically structured list of key radiation-quality quantities</w:t>
      </w:r>
      <w:r w:rsidR="00170AEA">
        <w:rPr>
          <w:rFonts w:ascii="Calibri" w:hAnsi="Calibri" w:cs="Arial"/>
          <w:sz w:val="20"/>
          <w:szCs w:val="20"/>
          <w:shd w:val="clear" w:color="auto" w:fill="FFFFFF"/>
        </w:rPr>
        <w:t xml:space="preserve">. </w:t>
      </w:r>
    </w:p>
    <w:p w14:paraId="7D2D9D10" w14:textId="1067F6F5" w:rsidR="00147224" w:rsidRPr="00405681" w:rsidRDefault="00147224" w:rsidP="00C856F0">
      <w:pPr>
        <w:jc w:val="both"/>
        <w:rPr>
          <w:rFonts w:ascii="Calibri" w:hAnsi="Calibri" w:cs="Arial"/>
          <w:sz w:val="20"/>
          <w:szCs w:val="20"/>
          <w:shd w:val="clear" w:color="auto" w:fill="FFFFFF"/>
        </w:rPr>
      </w:pPr>
      <w:r w:rsidRPr="00405681">
        <w:rPr>
          <w:rFonts w:ascii="Calibri" w:hAnsi="Calibri" w:cs="Arial"/>
          <w:i/>
          <w:iCs/>
          <w:sz w:val="20"/>
          <w:szCs w:val="20"/>
          <w:shd w:val="clear" w:color="auto" w:fill="FFFFFF"/>
        </w:rPr>
        <w:t>Energy deposit:</w:t>
      </w:r>
      <w:r w:rsidRPr="00405681">
        <w:rPr>
          <w:rFonts w:ascii="Calibri" w:hAnsi="Calibri" w:cs="Arial"/>
          <w:sz w:val="20"/>
          <w:szCs w:val="20"/>
          <w:shd w:val="clear" w:color="auto" w:fill="FFFFFF"/>
        </w:rPr>
        <w:t xml:space="preserve"> Referring to a single interaction between an incident ionizing particle (including photons and neutrons) and a target particle, the energy deposit is the difference between the initial energy of the incident particle and the energy of the outgoing particle or </w:t>
      </w:r>
      <w:r w:rsidR="00294700" w:rsidRPr="00405681">
        <w:rPr>
          <w:rFonts w:ascii="Calibri" w:hAnsi="Calibri" w:cs="Arial"/>
          <w:sz w:val="20"/>
          <w:szCs w:val="20"/>
          <w:shd w:val="clear" w:color="auto" w:fill="FFFFFF"/>
        </w:rPr>
        <w:t>particles</w:t>
      </w:r>
      <w:r w:rsidRPr="00405681">
        <w:rPr>
          <w:rFonts w:ascii="Calibri" w:hAnsi="Calibri" w:cs="Arial"/>
          <w:sz w:val="20"/>
          <w:szCs w:val="20"/>
          <w:shd w:val="clear" w:color="auto" w:fill="FFFFFF"/>
        </w:rPr>
        <w:t>, considering possible changes in rest energy.</w:t>
      </w:r>
    </w:p>
    <w:p w14:paraId="59EF6F03" w14:textId="00274856" w:rsidR="00147224" w:rsidRDefault="00147224" w:rsidP="00C856F0">
      <w:pPr>
        <w:jc w:val="both"/>
        <w:rPr>
          <w:rFonts w:ascii="Calibri" w:hAnsi="Calibri" w:cs="Arial"/>
          <w:sz w:val="20"/>
          <w:szCs w:val="20"/>
          <w:shd w:val="clear" w:color="auto" w:fill="FFFFFF"/>
        </w:rPr>
      </w:pPr>
      <w:r w:rsidRPr="00405681">
        <w:rPr>
          <w:rFonts w:ascii="Calibri" w:hAnsi="Calibri" w:cs="Arial"/>
          <w:i/>
          <w:iCs/>
          <w:sz w:val="20"/>
          <w:szCs w:val="20"/>
          <w:shd w:val="clear" w:color="auto" w:fill="FFFFFF"/>
        </w:rPr>
        <w:t>Energy imparted (є):</w:t>
      </w:r>
      <w:r w:rsidRPr="00405681">
        <w:rPr>
          <w:rFonts w:ascii="Calibri" w:hAnsi="Calibri" w:cs="Arial"/>
          <w:sz w:val="20"/>
          <w:szCs w:val="20"/>
          <w:shd w:val="clear" w:color="auto" w:fill="FFFFFF"/>
        </w:rPr>
        <w:t xml:space="preserve"> Defined within a given volume, where one or more ionizing particles interact with particles in that region, it is obtained by summing all energy deposits within the </w:t>
      </w:r>
      <w:r w:rsidR="00516EF2">
        <w:rPr>
          <w:rFonts w:ascii="Calibri" w:hAnsi="Calibri" w:cs="Arial"/>
          <w:sz w:val="20"/>
          <w:szCs w:val="20"/>
          <w:shd w:val="clear" w:color="auto" w:fill="FFFFFF"/>
        </w:rPr>
        <w:t xml:space="preserve">small </w:t>
      </w:r>
      <w:r w:rsidRPr="00405681">
        <w:rPr>
          <w:rFonts w:ascii="Calibri" w:hAnsi="Calibri" w:cs="Arial"/>
          <w:sz w:val="20"/>
          <w:szCs w:val="20"/>
          <w:shd w:val="clear" w:color="auto" w:fill="FFFFFF"/>
        </w:rPr>
        <w:t>volume from primary particles, and secondary electrons and ions. Energy imparted outside the target by high-energy secondary electrons (delta rays) is not included in the calculation. The volume of interest may be the sensitive volume of a microdosimeter or a biological target.</w:t>
      </w:r>
      <w:r w:rsidR="00294700">
        <w:rPr>
          <w:rFonts w:ascii="Calibri" w:hAnsi="Calibri" w:cs="Arial"/>
          <w:sz w:val="20"/>
          <w:szCs w:val="20"/>
          <w:shd w:val="clear" w:color="auto" w:fill="FFFFFF"/>
        </w:rPr>
        <w:t xml:space="preserve"> In the case the imparted energy refers to single </w:t>
      </w:r>
      <w:r w:rsidR="00607FA4">
        <w:rPr>
          <w:rFonts w:ascii="Calibri" w:hAnsi="Calibri" w:cs="Arial"/>
          <w:sz w:val="20"/>
          <w:szCs w:val="20"/>
          <w:shd w:val="clear" w:color="auto" w:fill="FFFFFF"/>
        </w:rPr>
        <w:t>ionizing</w:t>
      </w:r>
      <w:r w:rsidR="00294700">
        <w:rPr>
          <w:rFonts w:ascii="Calibri" w:hAnsi="Calibri" w:cs="Arial"/>
          <w:sz w:val="20"/>
          <w:szCs w:val="20"/>
          <w:shd w:val="clear" w:color="auto" w:fill="FFFFFF"/>
        </w:rPr>
        <w:t xml:space="preserve"> particle, </w:t>
      </w:r>
      <w:r w:rsidR="00516EF2">
        <w:rPr>
          <w:rFonts w:ascii="Calibri" w:hAnsi="Calibri" w:cs="Arial"/>
          <w:sz w:val="20"/>
          <w:szCs w:val="20"/>
          <w:shd w:val="clear" w:color="auto" w:fill="FFFFFF"/>
        </w:rPr>
        <w:t xml:space="preserve">a subscript 1 is added: </w:t>
      </w:r>
      <w:r w:rsidR="00516EF2" w:rsidRPr="00405681">
        <w:rPr>
          <w:rFonts w:ascii="Calibri" w:hAnsi="Calibri" w:cs="Arial"/>
          <w:i/>
          <w:iCs/>
          <w:sz w:val="20"/>
          <w:szCs w:val="20"/>
          <w:shd w:val="clear" w:color="auto" w:fill="FFFFFF"/>
        </w:rPr>
        <w:t>є</w:t>
      </w:r>
      <w:r w:rsidR="00516EF2" w:rsidRPr="00516EF2">
        <w:rPr>
          <w:rFonts w:ascii="Calibri" w:hAnsi="Calibri" w:cs="Arial"/>
          <w:sz w:val="20"/>
          <w:szCs w:val="20"/>
          <w:shd w:val="clear" w:color="auto" w:fill="FFFFFF"/>
          <w:vertAlign w:val="subscript"/>
        </w:rPr>
        <w:t>1</w:t>
      </w:r>
      <w:r w:rsidR="00516EF2">
        <w:rPr>
          <w:rFonts w:ascii="Calibri" w:hAnsi="Calibri" w:cs="Arial"/>
          <w:sz w:val="20"/>
          <w:szCs w:val="20"/>
          <w:shd w:val="clear" w:color="auto" w:fill="FFFFFF"/>
        </w:rPr>
        <w:t xml:space="preserve">. The actual dimension of the “small” volume is not strictly specified and could range, </w:t>
      </w:r>
      <w:r w:rsidR="00516EF2">
        <w:rPr>
          <w:rFonts w:ascii="Calibri" w:hAnsi="Calibri" w:cs="Arial"/>
          <w:sz w:val="20"/>
          <w:szCs w:val="20"/>
          <w:shd w:val="clear" w:color="auto" w:fill="FFFFFF"/>
        </w:rPr>
        <w:t>depending on th</w:t>
      </w:r>
      <w:r w:rsidR="00607FA4">
        <w:rPr>
          <w:rFonts w:ascii="Calibri" w:hAnsi="Calibri" w:cs="Arial"/>
          <w:sz w:val="20"/>
          <w:szCs w:val="20"/>
          <w:shd w:val="clear" w:color="auto" w:fill="FFFFFF"/>
        </w:rPr>
        <w:t>e</w:t>
      </w:r>
      <w:r w:rsidR="00516EF2">
        <w:rPr>
          <w:rFonts w:ascii="Calibri" w:hAnsi="Calibri" w:cs="Arial"/>
          <w:sz w:val="20"/>
          <w:szCs w:val="20"/>
          <w:shd w:val="clear" w:color="auto" w:fill="FFFFFF"/>
        </w:rPr>
        <w:t xml:space="preserve"> application, from nanometric to micrometric size.</w:t>
      </w:r>
    </w:p>
    <w:p w14:paraId="7144DC68" w14:textId="7FD948D2" w:rsidR="00516EF2" w:rsidRPr="00405681" w:rsidRDefault="00516EF2" w:rsidP="00C856F0">
      <w:pPr>
        <w:jc w:val="both"/>
        <w:rPr>
          <w:rFonts w:ascii="Calibri" w:hAnsi="Calibri" w:cs="Arial"/>
          <w:sz w:val="20"/>
          <w:szCs w:val="20"/>
          <w:shd w:val="clear" w:color="auto" w:fill="FFFFFF"/>
        </w:rPr>
      </w:pPr>
      <w:r w:rsidRPr="00FE1D0A">
        <w:rPr>
          <w:rFonts w:ascii="Calibri" w:hAnsi="Calibri" w:cs="Arial"/>
          <w:i/>
          <w:iCs/>
          <w:sz w:val="20"/>
          <w:szCs w:val="20"/>
          <w:shd w:val="clear" w:color="auto" w:fill="FFFFFF"/>
        </w:rPr>
        <w:t>Site size</w:t>
      </w:r>
      <w:r>
        <w:rPr>
          <w:rFonts w:ascii="Calibri" w:hAnsi="Calibri" w:cs="Arial"/>
          <w:sz w:val="20"/>
          <w:szCs w:val="20"/>
          <w:shd w:val="clear" w:color="auto" w:fill="FFFFFF"/>
        </w:rPr>
        <w:t xml:space="preserve">: </w:t>
      </w:r>
      <w:r w:rsidR="00FE1D0A" w:rsidRPr="00FE1D0A">
        <w:rPr>
          <w:rFonts w:ascii="Calibri" w:hAnsi="Calibri" w:cs="Arial"/>
          <w:sz w:val="20"/>
          <w:szCs w:val="20"/>
          <w:shd w:val="clear" w:color="auto" w:fill="FFFFFF"/>
        </w:rPr>
        <w:t>Site size refers to a general characterization of the volume of interest, conventionally expressed as a length—typically the diameter in the case of spherical shapes, or an approximate side length for more irregular geometries</w:t>
      </w:r>
      <w:r w:rsidR="00FE1D0A">
        <w:rPr>
          <w:rFonts w:ascii="Calibri" w:hAnsi="Calibri" w:cs="Arial"/>
          <w:sz w:val="20"/>
          <w:szCs w:val="20"/>
          <w:shd w:val="clear" w:color="auto" w:fill="FFFFFF"/>
        </w:rPr>
        <w:t>.</w:t>
      </w:r>
    </w:p>
    <w:p w14:paraId="5182BE33" w14:textId="5CC7D2DF" w:rsidR="00147224" w:rsidRPr="00405681" w:rsidRDefault="00147224" w:rsidP="00C856F0">
      <w:pPr>
        <w:jc w:val="both"/>
        <w:rPr>
          <w:rFonts w:ascii="Calibri" w:hAnsi="Calibri" w:cs="Arial"/>
          <w:sz w:val="20"/>
          <w:szCs w:val="20"/>
          <w:shd w:val="clear" w:color="auto" w:fill="FFFFFF"/>
        </w:rPr>
      </w:pPr>
      <w:r w:rsidRPr="00405681">
        <w:rPr>
          <w:rFonts w:ascii="Calibri" w:hAnsi="Calibri" w:cs="Arial"/>
          <w:i/>
          <w:iCs/>
          <w:sz w:val="20"/>
          <w:szCs w:val="20"/>
          <w:shd w:val="clear" w:color="auto" w:fill="FFFFFF"/>
        </w:rPr>
        <w:t>Specific energy (z):</w:t>
      </w:r>
      <w:r w:rsidRPr="00405681">
        <w:rPr>
          <w:rFonts w:ascii="Calibri" w:hAnsi="Calibri" w:cs="Arial"/>
          <w:sz w:val="20"/>
          <w:szCs w:val="20"/>
          <w:shd w:val="clear" w:color="auto" w:fill="FFFFFF"/>
        </w:rPr>
        <w:t xml:space="preserve"> The ratio of energy imparted to the mass of the </w:t>
      </w:r>
      <w:r w:rsidR="00516EF2">
        <w:rPr>
          <w:rFonts w:ascii="Calibri" w:hAnsi="Calibri" w:cs="Arial"/>
          <w:sz w:val="20"/>
          <w:szCs w:val="20"/>
          <w:shd w:val="clear" w:color="auto" w:fill="FFFFFF"/>
        </w:rPr>
        <w:t xml:space="preserve">small </w:t>
      </w:r>
      <w:r w:rsidRPr="00405681">
        <w:rPr>
          <w:rFonts w:ascii="Calibri" w:hAnsi="Calibri" w:cs="Arial"/>
          <w:sz w:val="20"/>
          <w:szCs w:val="20"/>
          <w:shd w:val="clear" w:color="auto" w:fill="FFFFFF"/>
        </w:rPr>
        <w:t>sensitive volume considered. It has the same dimension as dose.</w:t>
      </w:r>
      <w:r w:rsidR="00516EF2">
        <w:rPr>
          <w:rFonts w:ascii="Calibri" w:hAnsi="Calibri" w:cs="Arial"/>
          <w:sz w:val="20"/>
          <w:szCs w:val="20"/>
          <w:shd w:val="clear" w:color="auto" w:fill="FFFFFF"/>
        </w:rPr>
        <w:t xml:space="preserve"> In the case the specific energy refers to single charge particles, a subscript 1 is added: </w:t>
      </w:r>
      <w:r w:rsidR="00516EF2">
        <w:rPr>
          <w:rFonts w:ascii="Calibri" w:hAnsi="Calibri" w:cs="Arial"/>
          <w:i/>
          <w:iCs/>
          <w:sz w:val="20"/>
          <w:szCs w:val="20"/>
          <w:shd w:val="clear" w:color="auto" w:fill="FFFFFF"/>
        </w:rPr>
        <w:t>z</w:t>
      </w:r>
      <w:r w:rsidR="00516EF2" w:rsidRPr="00516EF2">
        <w:rPr>
          <w:rFonts w:ascii="Calibri" w:hAnsi="Calibri" w:cs="Arial"/>
          <w:sz w:val="20"/>
          <w:szCs w:val="20"/>
          <w:shd w:val="clear" w:color="auto" w:fill="FFFFFF"/>
          <w:vertAlign w:val="subscript"/>
        </w:rPr>
        <w:t>1</w:t>
      </w:r>
      <w:r w:rsidR="00516EF2">
        <w:rPr>
          <w:rFonts w:ascii="Calibri" w:hAnsi="Calibri" w:cs="Arial"/>
          <w:sz w:val="20"/>
          <w:szCs w:val="20"/>
          <w:shd w:val="clear" w:color="auto" w:fill="FFFFFF"/>
        </w:rPr>
        <w:t>.</w:t>
      </w:r>
    </w:p>
    <w:p w14:paraId="1FC78AE3" w14:textId="77777777" w:rsidR="00147224" w:rsidRPr="00405681" w:rsidRDefault="00147224" w:rsidP="00C856F0">
      <w:pPr>
        <w:jc w:val="both"/>
        <w:rPr>
          <w:rFonts w:ascii="Calibri" w:hAnsi="Calibri" w:cs="Arial"/>
          <w:sz w:val="20"/>
          <w:szCs w:val="20"/>
          <w:shd w:val="clear" w:color="auto" w:fill="FFFFFF"/>
        </w:rPr>
      </w:pPr>
      <w:r w:rsidRPr="00405681">
        <w:rPr>
          <w:rFonts w:ascii="Calibri" w:hAnsi="Calibri" w:cs="Arial"/>
          <w:i/>
          <w:iCs/>
          <w:sz w:val="20"/>
          <w:szCs w:val="20"/>
          <w:shd w:val="clear" w:color="auto" w:fill="FFFFFF"/>
        </w:rPr>
        <w:t>Energy-deposition event:</w:t>
      </w:r>
      <w:r w:rsidRPr="00405681">
        <w:rPr>
          <w:rFonts w:ascii="Calibri" w:hAnsi="Calibri" w:cs="Arial"/>
          <w:sz w:val="20"/>
          <w:szCs w:val="20"/>
          <w:shd w:val="clear" w:color="auto" w:fill="FFFFFF"/>
        </w:rPr>
        <w:t xml:space="preserve"> The process by which energy is imparted through ionization and excitation from a single ionizing particle within the volume of interest, including energy correlated with its secondary electrons. Often referred to simply as an “event”.</w:t>
      </w:r>
    </w:p>
    <w:p w14:paraId="4527F092" w14:textId="77777777" w:rsidR="00147224" w:rsidRPr="00405681" w:rsidRDefault="00147224" w:rsidP="00C856F0">
      <w:pPr>
        <w:jc w:val="both"/>
        <w:rPr>
          <w:rFonts w:ascii="Calibri" w:hAnsi="Calibri" w:cs="Arial"/>
          <w:sz w:val="20"/>
          <w:szCs w:val="20"/>
          <w:shd w:val="clear" w:color="auto" w:fill="FFFFFF"/>
        </w:rPr>
      </w:pPr>
      <w:r w:rsidRPr="00405681">
        <w:rPr>
          <w:rFonts w:ascii="Calibri" w:hAnsi="Calibri" w:cs="Arial"/>
          <w:i/>
          <w:iCs/>
          <w:sz w:val="20"/>
          <w:szCs w:val="20"/>
          <w:shd w:val="clear" w:color="auto" w:fill="FFFFFF"/>
        </w:rPr>
        <w:t>Energy imparted in a single event (</w:t>
      </w:r>
      <w:r w:rsidRPr="00405681">
        <w:rPr>
          <w:rFonts w:ascii="Calibri" w:hAnsi="Calibri" w:cs="Arial"/>
          <w:sz w:val="20"/>
          <w:szCs w:val="20"/>
          <w:shd w:val="clear" w:color="auto" w:fill="FFFFFF"/>
        </w:rPr>
        <w:t>є</w:t>
      </w:r>
      <w:r w:rsidRPr="00147224">
        <w:rPr>
          <w:rFonts w:ascii="Cambria Math" w:hAnsi="Cambria Math" w:cs="Cambria Math"/>
          <w:i/>
          <w:iCs/>
          <w:sz w:val="20"/>
          <w:szCs w:val="20"/>
          <w:shd w:val="clear" w:color="auto" w:fill="FFFFFF"/>
        </w:rPr>
        <w:t>₁</w:t>
      </w:r>
      <w:r w:rsidRPr="00405681">
        <w:rPr>
          <w:rFonts w:ascii="Calibri" w:hAnsi="Calibri" w:cs="Arial"/>
          <w:i/>
          <w:iCs/>
          <w:sz w:val="20"/>
          <w:szCs w:val="20"/>
          <w:shd w:val="clear" w:color="auto" w:fill="FFFFFF"/>
        </w:rPr>
        <w:t>):</w:t>
      </w:r>
      <w:r w:rsidRPr="00405681">
        <w:rPr>
          <w:rFonts w:ascii="Calibri" w:hAnsi="Calibri" w:cs="Arial"/>
          <w:sz w:val="20"/>
          <w:szCs w:val="20"/>
          <w:shd w:val="clear" w:color="auto" w:fill="FFFFFF"/>
        </w:rPr>
        <w:t xml:space="preserve"> Follows the definition of ε, but restricted to the energy transferred by a single primary charged particle, denoted with subscript 1.</w:t>
      </w:r>
    </w:p>
    <w:p w14:paraId="2844DD2B" w14:textId="77777777" w:rsidR="00147224" w:rsidRPr="00405681" w:rsidRDefault="00147224" w:rsidP="00C856F0">
      <w:pPr>
        <w:jc w:val="both"/>
        <w:rPr>
          <w:rFonts w:ascii="Calibri" w:hAnsi="Calibri" w:cs="Arial"/>
          <w:sz w:val="20"/>
          <w:szCs w:val="20"/>
          <w:shd w:val="clear" w:color="auto" w:fill="FFFFFF"/>
        </w:rPr>
      </w:pPr>
      <w:r w:rsidRPr="00405681">
        <w:rPr>
          <w:rFonts w:ascii="Calibri" w:hAnsi="Calibri" w:cs="Arial"/>
          <w:i/>
          <w:iCs/>
          <w:sz w:val="20"/>
          <w:szCs w:val="20"/>
          <w:shd w:val="clear" w:color="auto" w:fill="FFFFFF"/>
        </w:rPr>
        <w:t>Single-event specific energy (z</w:t>
      </w:r>
      <w:r w:rsidRPr="00147224">
        <w:rPr>
          <w:rFonts w:ascii="Cambria Math" w:hAnsi="Cambria Math" w:cs="Cambria Math"/>
          <w:i/>
          <w:iCs/>
          <w:sz w:val="20"/>
          <w:szCs w:val="20"/>
          <w:shd w:val="clear" w:color="auto" w:fill="FFFFFF"/>
        </w:rPr>
        <w:t>₁</w:t>
      </w:r>
      <w:r w:rsidRPr="00405681">
        <w:rPr>
          <w:rFonts w:ascii="Calibri" w:hAnsi="Calibri" w:cs="Arial"/>
          <w:i/>
          <w:iCs/>
          <w:sz w:val="20"/>
          <w:szCs w:val="20"/>
          <w:shd w:val="clear" w:color="auto" w:fill="FFFFFF"/>
        </w:rPr>
        <w:t>):</w:t>
      </w:r>
      <w:r w:rsidRPr="00405681">
        <w:rPr>
          <w:rFonts w:ascii="Calibri" w:hAnsi="Calibri" w:cs="Arial"/>
          <w:sz w:val="20"/>
          <w:szCs w:val="20"/>
          <w:shd w:val="clear" w:color="auto" w:fill="FFFFFF"/>
        </w:rPr>
        <w:t xml:space="preserve"> Defined as the ratio ε</w:t>
      </w:r>
      <w:r w:rsidRPr="00147224">
        <w:rPr>
          <w:rFonts w:ascii="Cambria Math" w:hAnsi="Cambria Math" w:cs="Cambria Math"/>
          <w:sz w:val="20"/>
          <w:szCs w:val="20"/>
          <w:shd w:val="clear" w:color="auto" w:fill="FFFFFF"/>
        </w:rPr>
        <w:t>₁</w:t>
      </w:r>
      <w:r w:rsidRPr="00405681">
        <w:rPr>
          <w:rFonts w:ascii="Calibri" w:hAnsi="Calibri" w:cs="Arial"/>
          <w:sz w:val="20"/>
          <w:szCs w:val="20"/>
          <w:shd w:val="clear" w:color="auto" w:fill="FFFFFF"/>
        </w:rPr>
        <w:t>/m, where m is the mass of the volume considered.</w:t>
      </w:r>
    </w:p>
    <w:p w14:paraId="74E58313" w14:textId="0B7DFBDA" w:rsidR="00147224" w:rsidRDefault="00147224" w:rsidP="00C856F0">
      <w:pPr>
        <w:jc w:val="both"/>
        <w:rPr>
          <w:rFonts w:ascii="Calibri" w:hAnsi="Calibri" w:cs="Arial"/>
          <w:sz w:val="20"/>
          <w:szCs w:val="20"/>
        </w:rPr>
      </w:pPr>
      <w:r w:rsidRPr="00405681">
        <w:rPr>
          <w:rFonts w:ascii="Calibri" w:hAnsi="Calibri" w:cs="Arial"/>
          <w:i/>
          <w:iCs/>
          <w:sz w:val="20"/>
          <w:szCs w:val="20"/>
          <w:shd w:val="clear" w:color="auto" w:fill="FFFFFF"/>
        </w:rPr>
        <w:t>Lineal energy (y):</w:t>
      </w:r>
      <w:r w:rsidRPr="00405681">
        <w:rPr>
          <w:rFonts w:ascii="Calibri" w:hAnsi="Calibri" w:cs="Arial"/>
          <w:sz w:val="20"/>
          <w:szCs w:val="20"/>
        </w:rPr>
        <w:t xml:space="preserve"> Estimated as є</w:t>
      </w:r>
      <w:r w:rsidRPr="00147224">
        <w:rPr>
          <w:rFonts w:ascii="Cambria Math" w:hAnsi="Cambria Math" w:cs="Cambria Math"/>
          <w:sz w:val="20"/>
          <w:szCs w:val="20"/>
        </w:rPr>
        <w:t>₁</w:t>
      </w:r>
      <w:r w:rsidRPr="00405681">
        <w:rPr>
          <w:rFonts w:ascii="Calibri" w:hAnsi="Calibri" w:cs="Arial"/>
          <w:sz w:val="20"/>
          <w:szCs w:val="20"/>
        </w:rPr>
        <w:t xml:space="preserve"> divided by the mean chord length</w:t>
      </w:r>
      <w:r w:rsidR="00FE1D0A" w:rsidRPr="00FE1D0A">
        <w:rPr>
          <w:rFonts w:ascii="Calibri" w:hAnsi="Calibri" w:cs="Arial"/>
          <w:i/>
          <w:iCs/>
          <w:sz w:val="20"/>
          <w:szCs w:val="20"/>
        </w:rPr>
        <w:t xml:space="preserve"> </w:t>
      </w:r>
      <w:bookmarkStart w:id="0" w:name="_Hlk201217956"/>
      <w:r w:rsidR="00FE1D0A" w:rsidRPr="00FE1D0A">
        <w:rPr>
          <w:rFonts w:ascii="Times New Roman" w:hAnsi="Times New Roman" w:cs="Times New Roman"/>
          <w:i/>
          <w:iCs/>
          <w:sz w:val="20"/>
          <w:szCs w:val="20"/>
        </w:rPr>
        <w:t>l</w:t>
      </w:r>
      <w:bookmarkEnd w:id="0"/>
      <w:r w:rsidR="00FE1D0A" w:rsidRPr="00FE1D0A">
        <w:rPr>
          <w:rFonts w:ascii="Calibri" w:hAnsi="Calibri" w:cs="Arial"/>
          <w:i/>
          <w:iCs/>
          <w:sz w:val="26"/>
          <w:szCs w:val="26"/>
        </w:rPr>
        <w:t>̄</w:t>
      </w:r>
      <w:r w:rsidRPr="00405681">
        <w:rPr>
          <w:rFonts w:ascii="Calibri" w:hAnsi="Calibri" w:cs="Arial"/>
          <w:sz w:val="20"/>
          <w:szCs w:val="20"/>
        </w:rPr>
        <w:t>: y = є</w:t>
      </w:r>
      <w:r w:rsidRPr="00147224">
        <w:rPr>
          <w:rFonts w:ascii="Cambria Math" w:hAnsi="Cambria Math" w:cs="Cambria Math"/>
          <w:sz w:val="20"/>
          <w:szCs w:val="20"/>
        </w:rPr>
        <w:t>₁</w:t>
      </w:r>
      <w:r w:rsidRPr="00405681">
        <w:rPr>
          <w:rFonts w:ascii="Calibri" w:hAnsi="Calibri" w:cs="Arial"/>
          <w:sz w:val="20"/>
          <w:szCs w:val="20"/>
        </w:rPr>
        <w:t xml:space="preserve"> / </w:t>
      </w:r>
      <w:r w:rsidR="00FE1D0A" w:rsidRPr="00FE1D0A">
        <w:rPr>
          <w:rFonts w:ascii="Times New Roman" w:hAnsi="Times New Roman" w:cs="Times New Roman"/>
          <w:i/>
          <w:iCs/>
          <w:sz w:val="20"/>
          <w:szCs w:val="20"/>
        </w:rPr>
        <w:t>l</w:t>
      </w:r>
      <w:r w:rsidR="00FE1D0A" w:rsidRPr="00FE1D0A">
        <w:rPr>
          <w:rFonts w:ascii="Calibri" w:hAnsi="Calibri" w:cs="Arial"/>
          <w:i/>
          <w:iCs/>
          <w:sz w:val="28"/>
          <w:szCs w:val="28"/>
        </w:rPr>
        <w:t>̄</w:t>
      </w:r>
      <w:r w:rsidRPr="00405681">
        <w:rPr>
          <w:rFonts w:ascii="Calibri" w:hAnsi="Calibri" w:cs="Arial"/>
          <w:sz w:val="20"/>
          <w:szCs w:val="20"/>
        </w:rPr>
        <w:t>. The value of</w:t>
      </w:r>
      <w:r w:rsidR="004D599B" w:rsidRPr="00405681">
        <w:rPr>
          <w:rFonts w:ascii="Calibri" w:hAnsi="Calibri" w:cs="Arial"/>
          <w:sz w:val="20"/>
          <w:szCs w:val="20"/>
        </w:rPr>
        <w:t xml:space="preserve"> </w:t>
      </w:r>
      <w:r w:rsidR="00FE1D0A" w:rsidRPr="00FE1D0A">
        <w:rPr>
          <w:rFonts w:ascii="Times New Roman" w:hAnsi="Times New Roman" w:cs="Times New Roman"/>
          <w:i/>
          <w:iCs/>
          <w:sz w:val="20"/>
          <w:szCs w:val="20"/>
        </w:rPr>
        <w:t>l</w:t>
      </w:r>
      <w:r w:rsidR="00FE1D0A" w:rsidRPr="00FE1D0A">
        <w:rPr>
          <w:rFonts w:ascii="Calibri" w:hAnsi="Calibri" w:cs="Arial"/>
          <w:i/>
          <w:iCs/>
          <w:sz w:val="28"/>
          <w:szCs w:val="28"/>
        </w:rPr>
        <w:t>̄</w:t>
      </w:r>
      <w:r w:rsidR="004D599B" w:rsidRPr="00405681">
        <w:rPr>
          <w:rFonts w:ascii="Calibri" w:hAnsi="Calibri" w:cs="Arial"/>
          <w:i/>
          <w:iCs/>
          <w:sz w:val="20"/>
          <w:szCs w:val="20"/>
        </w:rPr>
        <w:t xml:space="preserve"> </w:t>
      </w:r>
      <w:r w:rsidRPr="00405681">
        <w:rPr>
          <w:rFonts w:ascii="Calibri" w:hAnsi="Calibri" w:cs="Arial"/>
          <w:sz w:val="20"/>
          <w:szCs w:val="20"/>
        </w:rPr>
        <w:t xml:space="preserve">is computed using chord-length distributions, depending on primary particle trajectories and volume shape. The ICRU 98 report clarifies that </w:t>
      </w:r>
      <w:r w:rsidR="00FE1D0A" w:rsidRPr="00FE1D0A">
        <w:rPr>
          <w:rFonts w:ascii="Times New Roman" w:hAnsi="Times New Roman" w:cs="Times New Roman"/>
          <w:i/>
          <w:iCs/>
          <w:sz w:val="20"/>
          <w:szCs w:val="20"/>
        </w:rPr>
        <w:t>l</w:t>
      </w:r>
      <w:r w:rsidR="00FE1D0A" w:rsidRPr="00FE1D0A">
        <w:rPr>
          <w:rFonts w:ascii="Calibri" w:hAnsi="Calibri" w:cs="Arial"/>
          <w:i/>
          <w:iCs/>
          <w:sz w:val="28"/>
          <w:szCs w:val="28"/>
        </w:rPr>
        <w:t>̄</w:t>
      </w:r>
      <w:r w:rsidR="004D599B" w:rsidRPr="00405681">
        <w:rPr>
          <w:rFonts w:ascii="Calibri" w:hAnsi="Calibri" w:cs="Arial"/>
          <w:i/>
          <w:iCs/>
          <w:sz w:val="20"/>
          <w:szCs w:val="20"/>
        </w:rPr>
        <w:t xml:space="preserve"> </w:t>
      </w:r>
      <w:r w:rsidRPr="00405681">
        <w:rPr>
          <w:rFonts w:ascii="Calibri" w:hAnsi="Calibri" w:cs="Arial"/>
          <w:sz w:val="20"/>
          <w:szCs w:val="20"/>
        </w:rPr>
        <w:t>is determined by accounting for the path of primary particles in the reference volume; for almost-unidirectional beam irradiation in a flat sensitive volume can be approximated by its thickness. Lineal energy is widely used in microdosimetric analyses, though є, z, є</w:t>
      </w:r>
      <w:r w:rsidRPr="00147224">
        <w:rPr>
          <w:rFonts w:ascii="Cambria Math" w:hAnsi="Cambria Math" w:cs="Cambria Math"/>
          <w:sz w:val="20"/>
          <w:szCs w:val="20"/>
        </w:rPr>
        <w:t>₁</w:t>
      </w:r>
      <w:r w:rsidRPr="00405681">
        <w:rPr>
          <w:rFonts w:ascii="Calibri" w:hAnsi="Calibri" w:cs="Arial"/>
          <w:sz w:val="20"/>
          <w:szCs w:val="20"/>
        </w:rPr>
        <w:t>, and z</w:t>
      </w:r>
      <w:r w:rsidRPr="00147224">
        <w:rPr>
          <w:rFonts w:ascii="Cambria Math" w:hAnsi="Cambria Math" w:cs="Cambria Math"/>
          <w:sz w:val="20"/>
          <w:szCs w:val="20"/>
        </w:rPr>
        <w:t>₁</w:t>
      </w:r>
      <w:r w:rsidRPr="00405681">
        <w:rPr>
          <w:rFonts w:ascii="Calibri" w:hAnsi="Calibri" w:cs="Arial"/>
          <w:sz w:val="20"/>
          <w:szCs w:val="20"/>
        </w:rPr>
        <w:t xml:space="preserve"> may also be employed.</w:t>
      </w:r>
    </w:p>
    <w:p w14:paraId="42BDA9C3" w14:textId="2B156DB3" w:rsidR="003013F5" w:rsidRPr="00405681" w:rsidRDefault="00165D85" w:rsidP="003013F5">
      <w:pPr>
        <w:jc w:val="both"/>
        <w:rPr>
          <w:rFonts w:ascii="Calibri" w:hAnsi="Calibri" w:cs="Arial"/>
          <w:sz w:val="20"/>
          <w:szCs w:val="20"/>
        </w:rPr>
      </w:pPr>
      <w:r w:rsidRPr="00516EF2">
        <w:rPr>
          <w:rFonts w:ascii="Calibri" w:hAnsi="Calibri" w:cs="Arial"/>
          <w:i/>
          <w:iCs/>
          <w:sz w:val="20"/>
          <w:szCs w:val="20"/>
        </w:rPr>
        <w:t>Lineal-energy probability density distribution in frequency f(y) and in dose d(y)</w:t>
      </w:r>
      <w:r w:rsidRPr="00516EF2">
        <w:rPr>
          <w:rFonts w:ascii="Calibri" w:hAnsi="Calibri" w:cs="Arial"/>
          <w:sz w:val="20"/>
          <w:szCs w:val="20"/>
        </w:rPr>
        <w:t>:</w:t>
      </w:r>
      <w:r>
        <w:rPr>
          <w:rFonts w:ascii="Calibri" w:hAnsi="Calibri" w:cs="Arial"/>
          <w:sz w:val="20"/>
          <w:szCs w:val="20"/>
        </w:rPr>
        <w:t xml:space="preserve"> </w:t>
      </w:r>
      <w:r w:rsidRPr="00405681">
        <w:rPr>
          <w:rFonts w:ascii="Calibri" w:hAnsi="Calibri" w:cs="Arial"/>
          <w:sz w:val="20"/>
          <w:szCs w:val="20"/>
        </w:rPr>
        <w:t xml:space="preserve">The element </w:t>
      </w:r>
      <w:r w:rsidRPr="00405681">
        <w:rPr>
          <w:rFonts w:ascii="Calibri" w:hAnsi="Calibri" w:cs="Arial"/>
          <w:i/>
          <w:iCs/>
          <w:sz w:val="20"/>
          <w:szCs w:val="20"/>
        </w:rPr>
        <w:t>f</w:t>
      </w:r>
      <w:r w:rsidRPr="00405681">
        <w:rPr>
          <w:rFonts w:ascii="Calibri" w:hAnsi="Calibri" w:cs="Arial"/>
          <w:sz w:val="20"/>
          <w:szCs w:val="20"/>
        </w:rPr>
        <w:t>(</w:t>
      </w:r>
      <w:r>
        <w:rPr>
          <w:rFonts w:ascii="Calibri" w:hAnsi="Calibri" w:cs="Arial"/>
          <w:sz w:val="20"/>
          <w:szCs w:val="20"/>
        </w:rPr>
        <w:t>y</w:t>
      </w:r>
      <w:r w:rsidRPr="00405681">
        <w:rPr>
          <w:rFonts w:ascii="Calibri" w:hAnsi="Calibri" w:cs="Arial"/>
          <w:sz w:val="20"/>
          <w:szCs w:val="20"/>
        </w:rPr>
        <w:t>) · </w:t>
      </w:r>
      <w:proofErr w:type="spellStart"/>
      <w:r w:rsidRPr="00405681">
        <w:rPr>
          <w:rFonts w:ascii="Calibri" w:hAnsi="Calibri" w:cs="Arial"/>
          <w:i/>
          <w:iCs/>
          <w:sz w:val="20"/>
          <w:szCs w:val="20"/>
        </w:rPr>
        <w:t>d</w:t>
      </w:r>
      <w:r>
        <w:rPr>
          <w:rFonts w:ascii="Calibri" w:hAnsi="Calibri" w:cs="Arial"/>
          <w:i/>
          <w:iCs/>
          <w:sz w:val="20"/>
          <w:szCs w:val="20"/>
        </w:rPr>
        <w:t>y</w:t>
      </w:r>
      <w:proofErr w:type="spellEnd"/>
      <w:r w:rsidRPr="00405681">
        <w:rPr>
          <w:rFonts w:ascii="Calibri" w:hAnsi="Calibri" w:cs="Arial"/>
          <w:sz w:val="20"/>
          <w:szCs w:val="20"/>
        </w:rPr>
        <w:t xml:space="preserve"> represents the probability that</w:t>
      </w:r>
      <w:r w:rsidR="00F95EED">
        <w:rPr>
          <w:rFonts w:ascii="Calibri" w:hAnsi="Calibri" w:cs="Arial"/>
          <w:sz w:val="20"/>
          <w:szCs w:val="20"/>
        </w:rPr>
        <w:t xml:space="preserve"> in a field</w:t>
      </w:r>
      <w:r w:rsidRPr="00405681">
        <w:rPr>
          <w:rFonts w:ascii="Calibri" w:hAnsi="Calibri" w:cs="Arial"/>
          <w:sz w:val="20"/>
          <w:szCs w:val="20"/>
        </w:rPr>
        <w:t xml:space="preserve">, </w:t>
      </w:r>
      <w:r w:rsidR="00F95EED">
        <w:rPr>
          <w:rFonts w:ascii="Calibri" w:hAnsi="Calibri" w:cs="Arial"/>
          <w:sz w:val="20"/>
          <w:szCs w:val="20"/>
        </w:rPr>
        <w:t xml:space="preserve">the lineal energy </w:t>
      </w:r>
      <w:r w:rsidRPr="00405681">
        <w:rPr>
          <w:rFonts w:ascii="Calibri" w:hAnsi="Calibri" w:cs="Arial"/>
          <w:sz w:val="20"/>
          <w:szCs w:val="20"/>
        </w:rPr>
        <w:t>f</w:t>
      </w:r>
      <w:r>
        <w:rPr>
          <w:rFonts w:ascii="Calibri" w:hAnsi="Calibri" w:cs="Arial"/>
          <w:sz w:val="20"/>
          <w:szCs w:val="20"/>
        </w:rPr>
        <w:t>a</w:t>
      </w:r>
      <w:r w:rsidRPr="00405681">
        <w:rPr>
          <w:rFonts w:ascii="Calibri" w:hAnsi="Calibri" w:cs="Arial"/>
          <w:sz w:val="20"/>
          <w:szCs w:val="20"/>
        </w:rPr>
        <w:t>lls in the infinitesimal interval (</w:t>
      </w:r>
      <w:r w:rsidR="00F95EED">
        <w:rPr>
          <w:rFonts w:ascii="Calibri" w:hAnsi="Calibri" w:cs="Arial"/>
          <w:sz w:val="20"/>
          <w:szCs w:val="20"/>
        </w:rPr>
        <w:t>y</w:t>
      </w:r>
      <w:r w:rsidRPr="00405681">
        <w:rPr>
          <w:rFonts w:ascii="Calibri" w:hAnsi="Calibri" w:cs="Arial"/>
          <w:sz w:val="20"/>
          <w:szCs w:val="20"/>
        </w:rPr>
        <w:t xml:space="preserve">, </w:t>
      </w:r>
      <w:proofErr w:type="spellStart"/>
      <w:r w:rsidR="00F95EED">
        <w:rPr>
          <w:rFonts w:ascii="Calibri" w:hAnsi="Calibri" w:cs="Arial"/>
          <w:sz w:val="20"/>
          <w:szCs w:val="20"/>
        </w:rPr>
        <w:t>y</w:t>
      </w:r>
      <w:r w:rsidRPr="00405681">
        <w:rPr>
          <w:rFonts w:ascii="Calibri" w:hAnsi="Calibri" w:cs="Arial"/>
          <w:sz w:val="20"/>
          <w:szCs w:val="20"/>
        </w:rPr>
        <w:t>+</w:t>
      </w:r>
      <w:r w:rsidR="00F95EED">
        <w:rPr>
          <w:rFonts w:ascii="Calibri" w:hAnsi="Calibri" w:cs="Arial"/>
          <w:sz w:val="20"/>
          <w:szCs w:val="20"/>
        </w:rPr>
        <w:t>dy</w:t>
      </w:r>
      <w:proofErr w:type="spellEnd"/>
      <w:r w:rsidRPr="00405681">
        <w:rPr>
          <w:rFonts w:ascii="Calibri" w:hAnsi="Calibri" w:cs="Arial"/>
          <w:sz w:val="20"/>
          <w:szCs w:val="20"/>
        </w:rPr>
        <w:t>). Analogous</w:t>
      </w:r>
      <w:r>
        <w:rPr>
          <w:rFonts w:ascii="Calibri" w:hAnsi="Calibri" w:cs="Arial"/>
          <w:sz w:val="20"/>
          <w:szCs w:val="20"/>
        </w:rPr>
        <w:t xml:space="preserve">ly, </w:t>
      </w:r>
      <w:r w:rsidRPr="00405681">
        <w:rPr>
          <w:rFonts w:ascii="Calibri" w:hAnsi="Calibri" w:cs="Arial"/>
          <w:sz w:val="20"/>
          <w:szCs w:val="20"/>
        </w:rPr>
        <w:t>the element d(</w:t>
      </w:r>
      <w:r w:rsidR="00F95EED">
        <w:rPr>
          <w:rFonts w:ascii="Calibri" w:hAnsi="Calibri" w:cs="Arial"/>
          <w:i/>
          <w:iCs/>
          <w:sz w:val="20"/>
          <w:szCs w:val="20"/>
        </w:rPr>
        <w:t>y</w:t>
      </w:r>
      <w:r w:rsidRPr="00405681">
        <w:rPr>
          <w:rFonts w:ascii="Calibri" w:hAnsi="Calibri" w:cs="Arial"/>
          <w:sz w:val="20"/>
          <w:szCs w:val="20"/>
        </w:rPr>
        <w:t>) · </w:t>
      </w:r>
      <w:proofErr w:type="spellStart"/>
      <w:r w:rsidRPr="00405681">
        <w:rPr>
          <w:rFonts w:ascii="Calibri" w:hAnsi="Calibri" w:cs="Arial"/>
          <w:i/>
          <w:iCs/>
          <w:sz w:val="20"/>
          <w:szCs w:val="20"/>
        </w:rPr>
        <w:t>d</w:t>
      </w:r>
      <w:r w:rsidR="00F95EED">
        <w:rPr>
          <w:rFonts w:ascii="Calibri" w:hAnsi="Calibri" w:cs="Arial"/>
          <w:i/>
          <w:iCs/>
          <w:sz w:val="20"/>
          <w:szCs w:val="20"/>
        </w:rPr>
        <w:t>y</w:t>
      </w:r>
      <w:proofErr w:type="spellEnd"/>
      <w:r>
        <w:rPr>
          <w:rFonts w:ascii="Calibri" w:hAnsi="Calibri" w:cs="Arial"/>
          <w:sz w:val="20"/>
          <w:szCs w:val="20"/>
        </w:rPr>
        <w:t xml:space="preserve"> represents the </w:t>
      </w:r>
      <w:r>
        <w:rPr>
          <w:rFonts w:ascii="Calibri" w:hAnsi="Calibri" w:cs="Arial"/>
          <w:sz w:val="20"/>
          <w:szCs w:val="20"/>
        </w:rPr>
        <w:lastRenderedPageBreak/>
        <w:t xml:space="preserve">fraction of dose delivered by the radiation field in the interval of </w:t>
      </w:r>
      <w:r w:rsidR="00F95EED">
        <w:rPr>
          <w:rFonts w:ascii="Calibri" w:hAnsi="Calibri" w:cs="Arial"/>
          <w:sz w:val="20"/>
          <w:szCs w:val="20"/>
        </w:rPr>
        <w:t xml:space="preserve">lineal energy </w:t>
      </w:r>
      <w:r w:rsidRPr="00405681">
        <w:rPr>
          <w:rFonts w:ascii="Calibri" w:hAnsi="Calibri" w:cs="Arial"/>
          <w:sz w:val="20"/>
          <w:szCs w:val="20"/>
        </w:rPr>
        <w:t>(</w:t>
      </w:r>
      <w:r w:rsidR="00F95EED">
        <w:rPr>
          <w:rFonts w:ascii="Calibri" w:hAnsi="Calibri" w:cs="Arial"/>
          <w:sz w:val="20"/>
          <w:szCs w:val="20"/>
        </w:rPr>
        <w:t>y</w:t>
      </w:r>
      <w:r w:rsidRPr="00405681">
        <w:rPr>
          <w:rFonts w:ascii="Calibri" w:hAnsi="Calibri" w:cs="Arial"/>
          <w:sz w:val="20"/>
          <w:szCs w:val="20"/>
        </w:rPr>
        <w:t xml:space="preserve">, </w:t>
      </w:r>
      <w:proofErr w:type="spellStart"/>
      <w:r w:rsidR="00F95EED">
        <w:rPr>
          <w:rFonts w:ascii="Calibri" w:hAnsi="Calibri" w:cs="Arial"/>
          <w:sz w:val="20"/>
          <w:szCs w:val="20"/>
        </w:rPr>
        <w:t>y</w:t>
      </w:r>
      <w:r w:rsidRPr="00405681">
        <w:rPr>
          <w:rFonts w:ascii="Calibri" w:hAnsi="Calibri" w:cs="Arial"/>
          <w:sz w:val="20"/>
          <w:szCs w:val="20"/>
        </w:rPr>
        <w:t>+</w:t>
      </w:r>
      <w:r w:rsidR="00F95EED">
        <w:rPr>
          <w:rFonts w:ascii="Calibri" w:hAnsi="Calibri" w:cs="Arial"/>
          <w:sz w:val="20"/>
          <w:szCs w:val="20"/>
        </w:rPr>
        <w:t>dy</w:t>
      </w:r>
      <w:proofErr w:type="spellEnd"/>
      <w:r w:rsidRPr="00405681">
        <w:rPr>
          <w:rFonts w:ascii="Calibri" w:hAnsi="Calibri" w:cs="Arial"/>
          <w:sz w:val="20"/>
          <w:szCs w:val="20"/>
        </w:rPr>
        <w:t>).</w:t>
      </w:r>
      <w:r w:rsidR="003013F5" w:rsidRPr="003013F5">
        <w:rPr>
          <w:rFonts w:ascii="Calibri" w:hAnsi="Calibri" w:cs="Arial"/>
          <w:sz w:val="20"/>
          <w:szCs w:val="20"/>
        </w:rPr>
        <w:t xml:space="preserve"> </w:t>
      </w:r>
      <w:r w:rsidR="003013F5">
        <w:rPr>
          <w:rFonts w:ascii="Calibri" w:hAnsi="Calibri" w:cs="Arial"/>
          <w:sz w:val="20"/>
          <w:szCs w:val="20"/>
        </w:rPr>
        <w:t xml:space="preserve">The two distributions are normalized </w:t>
      </w:r>
      <w:r w:rsidR="003013F5" w:rsidRPr="00405681">
        <w:rPr>
          <w:rFonts w:ascii="Calibri" w:hAnsi="Calibri" w:cs="Arial"/>
          <w:sz w:val="20"/>
          <w:szCs w:val="20"/>
        </w:rPr>
        <w:t>so that</w:t>
      </w:r>
      <w:r w:rsidR="003013F5">
        <w:rPr>
          <w:rFonts w:ascii="Calibri" w:hAnsi="Calibri" w:cs="Arial"/>
          <w:sz w:val="20"/>
          <w:szCs w:val="20"/>
        </w:rPr>
        <w:t>:</w:t>
      </w:r>
    </w:p>
    <w:p w14:paraId="012680F9" w14:textId="77777777" w:rsidR="003013F5" w:rsidRPr="00405681" w:rsidRDefault="001F30D9" w:rsidP="003013F5">
      <w:pPr>
        <w:jc w:val="both"/>
        <w:rPr>
          <w:rFonts w:ascii="Calibri" w:eastAsiaTheme="minorEastAsia" w:hAnsi="Calibri" w:cs="Arial"/>
          <w:sz w:val="20"/>
          <w:szCs w:val="20"/>
        </w:rPr>
      </w:pPr>
      <m:oMathPara>
        <m:oMath>
          <m:nary>
            <m:naryPr>
              <m:limLoc m:val="subSup"/>
              <m:ctrlPr>
                <w:rPr>
                  <w:rFonts w:ascii="Cambria Math" w:hAnsi="Cambria Math" w:cs="Arial"/>
                  <w:i/>
                  <w:sz w:val="20"/>
                  <w:szCs w:val="20"/>
                </w:rPr>
              </m:ctrlPr>
            </m:naryPr>
            <m:sub>
              <m:r>
                <w:rPr>
                  <w:rFonts w:ascii="Cambria Math" w:hAnsi="Cambria Math" w:cs="Arial"/>
                  <w:sz w:val="20"/>
                  <w:szCs w:val="20"/>
                </w:rPr>
                <m:t>0</m:t>
              </m:r>
            </m:sub>
            <m:sup>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max</m:t>
                  </m:r>
                </m:sub>
              </m:sSub>
            </m:sup>
            <m:e>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y</m:t>
                  </m:r>
                </m:e>
              </m:d>
              <m:box>
                <m:boxPr>
                  <m:diff m:val="1"/>
                  <m:ctrlPr>
                    <w:rPr>
                      <w:rFonts w:ascii="Cambria Math" w:hAnsi="Cambria Math" w:cs="Arial"/>
                      <w:i/>
                      <w:sz w:val="20"/>
                      <w:szCs w:val="20"/>
                    </w:rPr>
                  </m:ctrlPr>
                </m:boxPr>
                <m:e>
                  <m:r>
                    <w:rPr>
                      <w:rFonts w:ascii="Cambria Math" w:hAnsi="Cambria Math" w:cs="Arial"/>
                      <w:sz w:val="20"/>
                      <w:szCs w:val="20"/>
                    </w:rPr>
                    <m:t>dy</m:t>
                  </m:r>
                </m:e>
              </m:box>
            </m:e>
          </m:nary>
          <m:r>
            <w:rPr>
              <w:rFonts w:ascii="Cambria Math" w:hAnsi="Cambria Math" w:cs="Arial"/>
              <w:sz w:val="20"/>
              <w:szCs w:val="20"/>
            </w:rPr>
            <m:t>=1</m:t>
          </m:r>
        </m:oMath>
      </m:oMathPara>
    </w:p>
    <w:p w14:paraId="3D2E8FD9" w14:textId="77777777" w:rsidR="003013F5" w:rsidRPr="00147224" w:rsidRDefault="001F30D9" w:rsidP="003013F5">
      <w:pPr>
        <w:jc w:val="both"/>
        <w:rPr>
          <w:rFonts w:cstheme="minorHAnsi"/>
          <w:sz w:val="20"/>
          <w:szCs w:val="20"/>
        </w:rPr>
      </w:pPr>
      <m:oMathPara>
        <m:oMath>
          <m:nary>
            <m:naryPr>
              <m:limLoc m:val="subSup"/>
              <m:ctrlPr>
                <w:rPr>
                  <w:rFonts w:ascii="Cambria Math" w:hAnsi="Cambria Math" w:cstheme="minorHAnsi"/>
                  <w:i/>
                  <w:sz w:val="20"/>
                  <w:szCs w:val="20"/>
                </w:rPr>
              </m:ctrlPr>
            </m:naryPr>
            <m:sub>
              <m:r>
                <w:rPr>
                  <w:rFonts w:ascii="Cambria Math" w:hAnsi="Cambria Math" w:cstheme="minorHAnsi"/>
                  <w:sz w:val="20"/>
                  <w:szCs w:val="20"/>
                </w:rPr>
                <m:t>0</m:t>
              </m:r>
            </m:sub>
            <m:sup>
              <m:sSub>
                <m:sSubPr>
                  <m:ctrlPr>
                    <w:rPr>
                      <w:rFonts w:ascii="Cambria Math" w:hAnsi="Cambria Math" w:cstheme="minorHAnsi"/>
                      <w:i/>
                      <w:sz w:val="20"/>
                      <w:szCs w:val="20"/>
                    </w:rPr>
                  </m:ctrlPr>
                </m:sSubPr>
                <m:e>
                  <m:r>
                    <w:rPr>
                      <w:rFonts w:ascii="Cambria Math" w:hAnsi="Cambria Math" w:cstheme="minorHAnsi"/>
                      <w:sz w:val="20"/>
                      <w:szCs w:val="20"/>
                    </w:rPr>
                    <m:t>y</m:t>
                  </m:r>
                </m:e>
                <m:sub>
                  <m:r>
                    <w:rPr>
                      <w:rFonts w:ascii="Cambria Math" w:hAnsi="Cambria Math" w:cstheme="minorHAnsi"/>
                      <w:sz w:val="20"/>
                      <w:szCs w:val="20"/>
                    </w:rPr>
                    <m:t>max</m:t>
                  </m:r>
                </m:sub>
              </m:sSub>
            </m:sup>
            <m:e>
              <m:r>
                <w:rPr>
                  <w:rFonts w:ascii="Cambria Math" w:hAnsi="Cambria Math" w:cstheme="minorHAnsi"/>
                  <w:sz w:val="20"/>
                  <w:szCs w:val="20"/>
                </w:rPr>
                <m:t>d</m:t>
              </m:r>
              <m:d>
                <m:dPr>
                  <m:ctrlPr>
                    <w:rPr>
                      <w:rFonts w:ascii="Cambria Math" w:hAnsi="Cambria Math" w:cstheme="minorHAnsi"/>
                      <w:i/>
                      <w:sz w:val="20"/>
                      <w:szCs w:val="20"/>
                    </w:rPr>
                  </m:ctrlPr>
                </m:dPr>
                <m:e>
                  <m:r>
                    <w:rPr>
                      <w:rFonts w:ascii="Cambria Math" w:hAnsi="Cambria Math" w:cstheme="minorHAnsi"/>
                      <w:sz w:val="20"/>
                      <w:szCs w:val="20"/>
                    </w:rPr>
                    <m:t>y</m:t>
                  </m:r>
                </m:e>
              </m:d>
              <m:box>
                <m:boxPr>
                  <m:diff m:val="1"/>
                  <m:ctrlPr>
                    <w:rPr>
                      <w:rFonts w:ascii="Cambria Math" w:hAnsi="Cambria Math" w:cstheme="minorHAnsi"/>
                      <w:i/>
                      <w:sz w:val="20"/>
                      <w:szCs w:val="20"/>
                    </w:rPr>
                  </m:ctrlPr>
                </m:boxPr>
                <m:e>
                  <m:r>
                    <w:rPr>
                      <w:rFonts w:ascii="Cambria Math" w:hAnsi="Cambria Math" w:cstheme="minorHAnsi"/>
                      <w:sz w:val="20"/>
                      <w:szCs w:val="20"/>
                    </w:rPr>
                    <m:t>dy</m:t>
                  </m:r>
                </m:e>
              </m:box>
            </m:e>
          </m:nary>
          <m:r>
            <w:rPr>
              <w:rFonts w:ascii="Cambria Math" w:hAnsi="Cambria Math" w:cstheme="minorHAnsi"/>
              <w:sz w:val="20"/>
              <w:szCs w:val="20"/>
            </w:rPr>
            <m:t>=1</m:t>
          </m:r>
        </m:oMath>
      </m:oMathPara>
    </w:p>
    <w:p w14:paraId="5EC91B66" w14:textId="3E5144EF" w:rsidR="00165D85" w:rsidRDefault="00165D85" w:rsidP="00C856F0">
      <w:pPr>
        <w:jc w:val="both"/>
        <w:rPr>
          <w:rFonts w:ascii="Calibri" w:hAnsi="Calibri" w:cs="Arial"/>
          <w:sz w:val="20"/>
          <w:szCs w:val="20"/>
        </w:rPr>
      </w:pPr>
    </w:p>
    <w:p w14:paraId="69540555" w14:textId="23C22262" w:rsidR="00165D85" w:rsidRPr="00405681" w:rsidRDefault="00551932" w:rsidP="00165D85">
      <w:pPr>
        <w:jc w:val="both"/>
        <w:rPr>
          <w:rFonts w:ascii="Calibri" w:hAnsi="Calibri" w:cs="Arial"/>
          <w:sz w:val="20"/>
          <w:szCs w:val="20"/>
        </w:rPr>
      </w:pPr>
      <w:r w:rsidRPr="00B548D1">
        <w:rPr>
          <w:rFonts w:ascii="Calibri" w:hAnsi="Calibri" w:cs="Arial"/>
          <w:i/>
          <w:iCs/>
          <w:sz w:val="20"/>
          <w:szCs w:val="20"/>
        </w:rPr>
        <w:t>Frequency and dose-mean lineal energy</w:t>
      </w:r>
      <w:r>
        <w:rPr>
          <w:rFonts w:ascii="Calibri" w:hAnsi="Calibri" w:cs="Arial"/>
          <w:sz w:val="20"/>
          <w:szCs w:val="20"/>
        </w:rPr>
        <w:t xml:space="preserve">: </w:t>
      </w:r>
      <w:r w:rsidR="00165D85" w:rsidRPr="00405681">
        <w:rPr>
          <w:rFonts w:ascii="Calibri" w:hAnsi="Calibri" w:cs="Arial"/>
          <w:sz w:val="20"/>
          <w:szCs w:val="20"/>
        </w:rPr>
        <w:t xml:space="preserve">they are calculated </w:t>
      </w:r>
      <w:r w:rsidR="00165D85">
        <w:rPr>
          <w:rFonts w:ascii="Calibri" w:hAnsi="Calibri" w:cs="Arial"/>
          <w:sz w:val="20"/>
          <w:szCs w:val="20"/>
        </w:rPr>
        <w:t xml:space="preserve">as the first moment of </w:t>
      </w:r>
      <w:r w:rsidR="00165D85" w:rsidRPr="00405681">
        <w:rPr>
          <w:rFonts w:ascii="Calibri" w:hAnsi="Calibri" w:cs="Arial"/>
          <w:sz w:val="20"/>
          <w:szCs w:val="20"/>
        </w:rPr>
        <w:t xml:space="preserve">the </w:t>
      </w:r>
      <w:r w:rsidR="00165D85">
        <w:rPr>
          <w:rFonts w:ascii="Calibri" w:hAnsi="Calibri" w:cs="Arial"/>
          <w:sz w:val="20"/>
          <w:szCs w:val="20"/>
        </w:rPr>
        <w:t xml:space="preserve">probability density </w:t>
      </w:r>
      <w:r w:rsidR="00165D85" w:rsidRPr="00405681">
        <w:rPr>
          <w:rFonts w:ascii="Calibri" w:hAnsi="Calibri" w:cs="Arial"/>
          <w:sz w:val="20"/>
          <w:szCs w:val="20"/>
        </w:rPr>
        <w:t xml:space="preserve">distribution </w:t>
      </w:r>
      <w:r w:rsidR="00165D85">
        <w:rPr>
          <w:rFonts w:ascii="Calibri" w:hAnsi="Calibri" w:cs="Arial"/>
          <w:sz w:val="20"/>
          <w:szCs w:val="20"/>
        </w:rPr>
        <w:t xml:space="preserve">of lineal energy </w:t>
      </w:r>
      <w:r w:rsidR="003013F5">
        <w:rPr>
          <w:rFonts w:ascii="Calibri" w:hAnsi="Calibri" w:cs="Arial"/>
          <w:sz w:val="20"/>
          <w:szCs w:val="20"/>
        </w:rPr>
        <w:t xml:space="preserve">in </w:t>
      </w:r>
      <w:r w:rsidR="003013F5" w:rsidRPr="00405681">
        <w:rPr>
          <w:rFonts w:ascii="Calibri" w:hAnsi="Calibri" w:cs="Arial"/>
          <w:sz w:val="20"/>
          <w:szCs w:val="20"/>
        </w:rPr>
        <w:t>frequency</w:t>
      </w:r>
      <w:r w:rsidR="003013F5">
        <w:rPr>
          <w:rFonts w:ascii="Calibri" w:hAnsi="Calibri" w:cs="Arial"/>
          <w:sz w:val="20"/>
          <w:szCs w:val="20"/>
        </w:rPr>
        <w:t xml:space="preserve"> </w:t>
      </w:r>
      <w:r w:rsidR="00165D85" w:rsidRPr="00FE1D0A">
        <w:rPr>
          <w:rFonts w:ascii="Calibri" w:hAnsi="Calibri" w:cs="Arial"/>
          <w:i/>
          <w:iCs/>
          <w:sz w:val="20"/>
          <w:szCs w:val="20"/>
        </w:rPr>
        <w:t>f</w:t>
      </w:r>
      <w:r w:rsidR="00165D85">
        <w:rPr>
          <w:rFonts w:ascii="Calibri" w:hAnsi="Calibri" w:cs="Arial"/>
          <w:sz w:val="20"/>
          <w:szCs w:val="20"/>
        </w:rPr>
        <w:t>(</w:t>
      </w:r>
      <w:r w:rsidR="00165D85" w:rsidRPr="00FE1D0A">
        <w:rPr>
          <w:rFonts w:ascii="Calibri" w:hAnsi="Calibri" w:cs="Arial"/>
          <w:i/>
          <w:iCs/>
          <w:sz w:val="20"/>
          <w:szCs w:val="20"/>
        </w:rPr>
        <w:t>y</w:t>
      </w:r>
      <w:r w:rsidR="00165D85">
        <w:rPr>
          <w:rFonts w:ascii="Calibri" w:hAnsi="Calibri" w:cs="Arial"/>
          <w:sz w:val="20"/>
          <w:szCs w:val="20"/>
        </w:rPr>
        <w:t xml:space="preserve">) and in </w:t>
      </w:r>
      <w:r w:rsidR="00165D85" w:rsidRPr="00405681">
        <w:rPr>
          <w:rFonts w:ascii="Calibri" w:hAnsi="Calibri" w:cs="Arial"/>
          <w:sz w:val="20"/>
          <w:szCs w:val="20"/>
        </w:rPr>
        <w:t>dose</w:t>
      </w:r>
      <w:r w:rsidR="00165D85">
        <w:rPr>
          <w:rFonts w:ascii="Calibri" w:hAnsi="Calibri" w:cs="Arial"/>
          <w:sz w:val="20"/>
          <w:szCs w:val="20"/>
        </w:rPr>
        <w:t xml:space="preserve"> </w:t>
      </w:r>
      <w:r w:rsidR="00165D85" w:rsidRPr="00FE1D0A">
        <w:rPr>
          <w:rFonts w:ascii="Calibri" w:hAnsi="Calibri" w:cs="Arial"/>
          <w:i/>
          <w:iCs/>
          <w:sz w:val="20"/>
          <w:szCs w:val="20"/>
        </w:rPr>
        <w:t>d</w:t>
      </w:r>
      <w:r w:rsidR="00165D85">
        <w:rPr>
          <w:rFonts w:ascii="Calibri" w:hAnsi="Calibri" w:cs="Arial"/>
          <w:sz w:val="20"/>
          <w:szCs w:val="20"/>
        </w:rPr>
        <w:t>(</w:t>
      </w:r>
      <w:r w:rsidR="00165D85" w:rsidRPr="00FE1D0A">
        <w:rPr>
          <w:rFonts w:ascii="Calibri" w:hAnsi="Calibri" w:cs="Arial"/>
          <w:i/>
          <w:iCs/>
          <w:sz w:val="20"/>
          <w:szCs w:val="20"/>
        </w:rPr>
        <w:t>y</w:t>
      </w:r>
      <w:r w:rsidR="00165D85">
        <w:rPr>
          <w:rFonts w:ascii="Calibri" w:hAnsi="Calibri" w:cs="Arial"/>
          <w:sz w:val="20"/>
          <w:szCs w:val="20"/>
        </w:rPr>
        <w:t>):</w:t>
      </w:r>
    </w:p>
    <w:p w14:paraId="575D8743" w14:textId="490681F2" w:rsidR="00165D85" w:rsidRPr="00405681" w:rsidRDefault="001F30D9" w:rsidP="00165D85">
      <w:pPr>
        <w:jc w:val="both"/>
        <w:rPr>
          <w:rFonts w:ascii="Calibri" w:eastAsiaTheme="minorEastAsia" w:hAnsi="Calibri" w:cs="Arial"/>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y</m:t>
                  </m:r>
                </m:e>
              </m:acc>
            </m:e>
            <m:sub>
              <m:r>
                <w:rPr>
                  <w:rFonts w:ascii="Cambria Math" w:hAnsi="Cambria Math" w:cs="Arial"/>
                  <w:sz w:val="20"/>
                  <w:szCs w:val="20"/>
                </w:rPr>
                <m:t>F</m:t>
              </m:r>
            </m:sub>
          </m:sSub>
          <m:r>
            <w:rPr>
              <w:rFonts w:ascii="Cambria Math" w:hAnsi="Cambria Math" w:cs="Arial"/>
              <w:sz w:val="20"/>
              <w:szCs w:val="20"/>
            </w:rPr>
            <m:t xml:space="preserve">= </m:t>
          </m:r>
          <m:nary>
            <m:naryPr>
              <m:limLoc m:val="subSup"/>
              <m:ctrlPr>
                <w:rPr>
                  <w:rFonts w:ascii="Cambria Math" w:hAnsi="Cambria Math" w:cs="Arial"/>
                  <w:i/>
                  <w:sz w:val="20"/>
                  <w:szCs w:val="20"/>
                </w:rPr>
              </m:ctrlPr>
            </m:naryPr>
            <m:sub>
              <m:r>
                <w:rPr>
                  <w:rFonts w:ascii="Cambria Math" w:hAnsi="Cambria Math" w:cs="Arial"/>
                  <w:sz w:val="20"/>
                  <w:szCs w:val="20"/>
                </w:rPr>
                <m:t>0</m:t>
              </m:r>
            </m:sub>
            <m:sup>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max</m:t>
                  </m:r>
                </m:sub>
              </m:sSub>
            </m:sup>
            <m:e>
              <m:r>
                <w:rPr>
                  <w:rFonts w:ascii="Cambria Math" w:hAnsi="Cambria Math" w:cs="Arial"/>
                  <w:sz w:val="20"/>
                  <w:szCs w:val="20"/>
                </w:rPr>
                <m:t>y·f</m:t>
              </m:r>
              <m:d>
                <m:dPr>
                  <m:ctrlPr>
                    <w:rPr>
                      <w:rFonts w:ascii="Cambria Math" w:hAnsi="Cambria Math" w:cs="Arial"/>
                      <w:i/>
                      <w:sz w:val="20"/>
                      <w:szCs w:val="20"/>
                    </w:rPr>
                  </m:ctrlPr>
                </m:dPr>
                <m:e>
                  <m:r>
                    <w:rPr>
                      <w:rFonts w:ascii="Cambria Math" w:hAnsi="Cambria Math" w:cs="Arial"/>
                      <w:sz w:val="20"/>
                      <w:szCs w:val="20"/>
                    </w:rPr>
                    <m:t>y</m:t>
                  </m:r>
                </m:e>
              </m:d>
              <m:box>
                <m:boxPr>
                  <m:diff m:val="1"/>
                  <m:ctrlPr>
                    <w:rPr>
                      <w:rFonts w:ascii="Cambria Math" w:hAnsi="Cambria Math" w:cs="Arial"/>
                      <w:i/>
                      <w:sz w:val="20"/>
                      <w:szCs w:val="20"/>
                    </w:rPr>
                  </m:ctrlPr>
                </m:boxPr>
                <m:e>
                  <m:r>
                    <w:rPr>
                      <w:rFonts w:ascii="Cambria Math" w:hAnsi="Cambria Math" w:cs="Arial"/>
                      <w:sz w:val="20"/>
                      <w:szCs w:val="20"/>
                    </w:rPr>
                    <m:t>dy</m:t>
                  </m:r>
                </m:e>
              </m:box>
            </m:e>
          </m:nary>
        </m:oMath>
      </m:oMathPara>
    </w:p>
    <w:p w14:paraId="3A1AF912" w14:textId="038AF986" w:rsidR="00165D85" w:rsidRPr="00405681" w:rsidRDefault="001F30D9" w:rsidP="00165D85">
      <w:pPr>
        <w:jc w:val="both"/>
        <w:rPr>
          <w:rFonts w:ascii="Calibri" w:hAnsi="Calibri" w:cs="Arial"/>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y</m:t>
                  </m:r>
                </m:e>
              </m:acc>
            </m:e>
            <m:sub>
              <m:r>
                <w:rPr>
                  <w:rFonts w:ascii="Cambria Math" w:hAnsi="Cambria Math" w:cs="Arial"/>
                  <w:sz w:val="20"/>
                  <w:szCs w:val="20"/>
                </w:rPr>
                <m:t>D</m:t>
              </m:r>
            </m:sub>
          </m:sSub>
          <m:r>
            <w:rPr>
              <w:rFonts w:ascii="Cambria Math" w:hAnsi="Cambria Math" w:cs="Arial"/>
              <w:sz w:val="20"/>
              <w:szCs w:val="20"/>
            </w:rPr>
            <m:t xml:space="preserve">= </m:t>
          </m:r>
          <m:nary>
            <m:naryPr>
              <m:limLoc m:val="subSup"/>
              <m:ctrlPr>
                <w:rPr>
                  <w:rFonts w:ascii="Cambria Math" w:hAnsi="Cambria Math" w:cs="Arial"/>
                  <w:i/>
                  <w:sz w:val="20"/>
                  <w:szCs w:val="20"/>
                </w:rPr>
              </m:ctrlPr>
            </m:naryPr>
            <m:sub>
              <m:r>
                <w:rPr>
                  <w:rFonts w:ascii="Cambria Math" w:hAnsi="Cambria Math" w:cs="Arial"/>
                  <w:sz w:val="20"/>
                  <w:szCs w:val="20"/>
                </w:rPr>
                <m:t>0</m:t>
              </m:r>
            </m:sub>
            <m:sup>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max</m:t>
                  </m:r>
                </m:sub>
              </m:sSub>
            </m:sup>
            <m:e>
              <m:r>
                <w:rPr>
                  <w:rFonts w:ascii="Cambria Math" w:hAnsi="Cambria Math" w:cs="Arial"/>
                  <w:sz w:val="20"/>
                  <w:szCs w:val="20"/>
                </w:rPr>
                <m:t>y·d</m:t>
              </m:r>
              <m:d>
                <m:dPr>
                  <m:ctrlPr>
                    <w:rPr>
                      <w:rFonts w:ascii="Cambria Math" w:hAnsi="Cambria Math" w:cs="Arial"/>
                      <w:i/>
                      <w:sz w:val="20"/>
                      <w:szCs w:val="20"/>
                    </w:rPr>
                  </m:ctrlPr>
                </m:dPr>
                <m:e>
                  <m:r>
                    <w:rPr>
                      <w:rFonts w:ascii="Cambria Math" w:hAnsi="Cambria Math" w:cs="Arial"/>
                      <w:sz w:val="20"/>
                      <w:szCs w:val="20"/>
                    </w:rPr>
                    <m:t>y</m:t>
                  </m:r>
                </m:e>
              </m:d>
              <m:box>
                <m:boxPr>
                  <m:diff m:val="1"/>
                  <m:ctrlPr>
                    <w:rPr>
                      <w:rFonts w:ascii="Cambria Math" w:hAnsi="Cambria Math" w:cs="Arial"/>
                      <w:i/>
                      <w:sz w:val="20"/>
                      <w:szCs w:val="20"/>
                    </w:rPr>
                  </m:ctrlPr>
                </m:boxPr>
                <m:e>
                  <m:r>
                    <w:rPr>
                      <w:rFonts w:ascii="Cambria Math" w:hAnsi="Cambria Math" w:cs="Arial"/>
                      <w:sz w:val="20"/>
                      <w:szCs w:val="20"/>
                    </w:rPr>
                    <m:t>dy</m:t>
                  </m:r>
                </m:e>
              </m:box>
            </m:e>
          </m:nary>
        </m:oMath>
      </m:oMathPara>
    </w:p>
    <w:p w14:paraId="23E2628B" w14:textId="77777777" w:rsidR="00147224" w:rsidRPr="00405681" w:rsidRDefault="00147224" w:rsidP="00C856F0">
      <w:pPr>
        <w:jc w:val="both"/>
        <w:rPr>
          <w:rFonts w:ascii="Calibri" w:hAnsi="Calibri" w:cs="Arial"/>
          <w:sz w:val="20"/>
          <w:szCs w:val="20"/>
        </w:rPr>
      </w:pPr>
      <w:r w:rsidRPr="00405681">
        <w:rPr>
          <w:rFonts w:ascii="Calibri" w:hAnsi="Calibri" w:cs="Arial"/>
          <w:i/>
          <w:iCs/>
          <w:sz w:val="20"/>
          <w:szCs w:val="20"/>
          <w:shd w:val="clear" w:color="auto" w:fill="FFFFFF"/>
        </w:rPr>
        <w:t>Energy lost (</w:t>
      </w:r>
      <w:proofErr w:type="spellStart"/>
      <w:r w:rsidRPr="00405681">
        <w:rPr>
          <w:rFonts w:ascii="Calibri" w:hAnsi="Calibri" w:cs="Arial"/>
          <w:i/>
          <w:iCs/>
          <w:sz w:val="20"/>
          <w:szCs w:val="20"/>
          <w:shd w:val="clear" w:color="auto" w:fill="FFFFFF"/>
        </w:rPr>
        <w:t>dE</w:t>
      </w:r>
      <w:proofErr w:type="spellEnd"/>
      <w:r w:rsidRPr="00405681">
        <w:rPr>
          <w:rFonts w:ascii="Calibri" w:hAnsi="Calibri" w:cs="Arial"/>
          <w:i/>
          <w:iCs/>
          <w:sz w:val="20"/>
          <w:szCs w:val="20"/>
          <w:shd w:val="clear" w:color="auto" w:fill="FFFFFF"/>
        </w:rPr>
        <w:t>):</w:t>
      </w:r>
      <w:r w:rsidRPr="00405681">
        <w:rPr>
          <w:rFonts w:ascii="Calibri" w:hAnsi="Calibri" w:cs="Arial"/>
          <w:sz w:val="20"/>
          <w:szCs w:val="20"/>
        </w:rPr>
        <w:t xml:space="preserve"> The energy lost by a particle due to electronic interactions, nuclear elastic interactions, or bremsstrahlung radiation. Losses from radiative and nuclear elastic collisions are generally negligible while most relevant is energy loss via electronic interactions, particularly for the energies of ion beams used in therapy. </w:t>
      </w:r>
    </w:p>
    <w:p w14:paraId="3EEB450A" w14:textId="7A8550C5" w:rsidR="00147224" w:rsidRDefault="00147224" w:rsidP="00C856F0">
      <w:pPr>
        <w:jc w:val="both"/>
        <w:rPr>
          <w:rFonts w:ascii="Calibri" w:hAnsi="Calibri" w:cs="Arial"/>
          <w:sz w:val="20"/>
          <w:szCs w:val="20"/>
        </w:rPr>
      </w:pPr>
      <w:r w:rsidRPr="00405681">
        <w:rPr>
          <w:rFonts w:ascii="Calibri" w:hAnsi="Calibri" w:cs="Arial"/>
          <w:i/>
          <w:iCs/>
          <w:sz w:val="20"/>
          <w:szCs w:val="20"/>
          <w:shd w:val="clear" w:color="auto" w:fill="FFFFFF"/>
        </w:rPr>
        <w:t>Unrestricted Linear Energy Transfer (LET):</w:t>
      </w:r>
      <w:r w:rsidRPr="00405681">
        <w:rPr>
          <w:rFonts w:ascii="Calibri" w:hAnsi="Calibri" w:cs="Arial"/>
          <w:sz w:val="20"/>
          <w:szCs w:val="20"/>
        </w:rPr>
        <w:t xml:space="preserve"> Defined as the ratio between mean energy lost in electronic interactions (</w:t>
      </w:r>
      <w:proofErr w:type="spellStart"/>
      <w:r w:rsidRPr="00405681">
        <w:rPr>
          <w:rFonts w:ascii="Calibri" w:hAnsi="Calibri" w:cs="Arial"/>
          <w:sz w:val="20"/>
          <w:szCs w:val="20"/>
        </w:rPr>
        <w:t>d</w:t>
      </w:r>
      <w:r w:rsidRPr="00405681">
        <w:rPr>
          <w:rFonts w:ascii="Calibri" w:hAnsi="Calibri" w:cs="Arial"/>
          <w:i/>
          <w:iCs/>
          <w:sz w:val="20"/>
          <w:szCs w:val="20"/>
        </w:rPr>
        <w:t>E</w:t>
      </w:r>
      <w:proofErr w:type="spellEnd"/>
      <w:r w:rsidRPr="00405681">
        <w:rPr>
          <w:rFonts w:ascii="Calibri" w:hAnsi="Calibri" w:cs="Arial"/>
          <w:sz w:val="20"/>
          <w:szCs w:val="20"/>
        </w:rPr>
        <w:t>) and the traversed distance (</w:t>
      </w:r>
      <w:bookmarkStart w:id="1" w:name="_Hlk201064658"/>
      <w:r w:rsidRPr="00405681">
        <w:rPr>
          <w:rFonts w:ascii="Calibri" w:hAnsi="Calibri" w:cs="Arial"/>
          <w:sz w:val="20"/>
          <w:szCs w:val="20"/>
        </w:rPr>
        <w:t>d</w:t>
      </w:r>
      <w:r w:rsidRPr="00147224">
        <w:rPr>
          <w:rFonts w:ascii="Times New Roman" w:hAnsi="Times New Roman" w:cs="Times New Roman"/>
          <w:i/>
          <w:iCs/>
          <w:sz w:val="20"/>
          <w:szCs w:val="20"/>
        </w:rPr>
        <w:t>l</w:t>
      </w:r>
      <w:bookmarkEnd w:id="1"/>
      <w:r w:rsidRPr="00405681">
        <w:rPr>
          <w:rFonts w:ascii="Calibri" w:hAnsi="Calibri" w:cs="Arial"/>
          <w:sz w:val="20"/>
          <w:szCs w:val="20"/>
        </w:rPr>
        <w:t xml:space="preserve">). The mean is calculated considering the energy-loss straggling distribution of identical particles (same type and energy). The term “unrestricted” means that the total energy of secondary electrons generated in the collisions is accounted with no restriction due to escape. </w:t>
      </w:r>
      <w:r w:rsidR="00FE1D0A">
        <w:rPr>
          <w:rFonts w:ascii="Calibri" w:hAnsi="Calibri" w:cs="Arial"/>
          <w:sz w:val="20"/>
          <w:szCs w:val="20"/>
        </w:rPr>
        <w:t>Following</w:t>
      </w:r>
      <w:r w:rsidRPr="00405681">
        <w:rPr>
          <w:rFonts w:ascii="Calibri" w:hAnsi="Calibri" w:cs="Arial"/>
          <w:sz w:val="20"/>
          <w:szCs w:val="20"/>
        </w:rPr>
        <w:t xml:space="preserve"> the originally description of ICRU 16, </w:t>
      </w:r>
      <w:r w:rsidR="004D599B" w:rsidRPr="00405681">
        <w:rPr>
          <w:rFonts w:ascii="Calibri" w:hAnsi="Calibri" w:cs="Arial"/>
          <w:sz w:val="20"/>
          <w:szCs w:val="20"/>
        </w:rPr>
        <w:t>d</w:t>
      </w:r>
      <w:r w:rsidR="004D599B" w:rsidRPr="00147224">
        <w:rPr>
          <w:rFonts w:ascii="Times New Roman" w:hAnsi="Times New Roman" w:cs="Times New Roman"/>
          <w:i/>
          <w:iCs/>
          <w:sz w:val="20"/>
          <w:szCs w:val="20"/>
        </w:rPr>
        <w:t>l</w:t>
      </w:r>
      <w:r w:rsidRPr="00405681">
        <w:rPr>
          <w:rFonts w:ascii="Calibri" w:hAnsi="Calibri" w:cs="Arial"/>
          <w:sz w:val="20"/>
          <w:szCs w:val="20"/>
        </w:rPr>
        <w:t xml:space="preserve"> should be small enough that multiple </w:t>
      </w:r>
      <w:r w:rsidR="00FE1D0A">
        <w:rPr>
          <w:rFonts w:ascii="Calibri" w:hAnsi="Calibri" w:cs="Arial"/>
          <w:sz w:val="20"/>
          <w:szCs w:val="20"/>
        </w:rPr>
        <w:t>electronic collisions</w:t>
      </w:r>
      <w:r w:rsidRPr="00405681">
        <w:rPr>
          <w:rFonts w:ascii="Calibri" w:hAnsi="Calibri" w:cs="Arial"/>
          <w:sz w:val="20"/>
          <w:szCs w:val="20"/>
        </w:rPr>
        <w:t xml:space="preserve"> are unlikely—for clinical ions, typical </w:t>
      </w:r>
      <w:r w:rsidR="004D599B" w:rsidRPr="00405681">
        <w:rPr>
          <w:rFonts w:ascii="Calibri" w:hAnsi="Calibri" w:cs="Arial"/>
          <w:sz w:val="20"/>
          <w:szCs w:val="20"/>
        </w:rPr>
        <w:t>d</w:t>
      </w:r>
      <w:r w:rsidR="004D599B" w:rsidRPr="00147224">
        <w:rPr>
          <w:rFonts w:ascii="Times New Roman" w:hAnsi="Times New Roman" w:cs="Times New Roman"/>
          <w:i/>
          <w:iCs/>
          <w:sz w:val="20"/>
          <w:szCs w:val="20"/>
        </w:rPr>
        <w:t>l</w:t>
      </w:r>
      <w:r w:rsidRPr="00405681">
        <w:rPr>
          <w:rFonts w:ascii="Calibri" w:hAnsi="Calibri" w:cs="Arial"/>
          <w:i/>
          <w:iCs/>
          <w:sz w:val="20"/>
          <w:szCs w:val="20"/>
        </w:rPr>
        <w:t xml:space="preserve"> </w:t>
      </w:r>
      <w:r w:rsidRPr="00405681">
        <w:rPr>
          <w:rFonts w:ascii="Calibri" w:hAnsi="Calibri" w:cs="Arial"/>
          <w:sz w:val="20"/>
          <w:szCs w:val="20"/>
        </w:rPr>
        <w:t>is</w:t>
      </w:r>
      <w:r w:rsidRPr="00405681">
        <w:rPr>
          <w:rFonts w:ascii="Calibri" w:hAnsi="Calibri" w:cs="Arial"/>
          <w:i/>
          <w:iCs/>
          <w:sz w:val="20"/>
          <w:szCs w:val="20"/>
        </w:rPr>
        <w:t xml:space="preserve"> </w:t>
      </w:r>
      <w:r w:rsidRPr="00405681">
        <w:rPr>
          <w:rFonts w:ascii="Calibri" w:hAnsi="Calibri" w:cs="Arial"/>
          <w:sz w:val="20"/>
          <w:szCs w:val="20"/>
        </w:rPr>
        <w:t xml:space="preserve">of the order of 1 nm. </w:t>
      </w:r>
      <w:r w:rsidR="002416DE">
        <w:rPr>
          <w:rFonts w:ascii="Calibri" w:hAnsi="Calibri" w:cs="Arial"/>
          <w:sz w:val="20"/>
          <w:szCs w:val="20"/>
        </w:rPr>
        <w:t>A correct evaluation must account that c</w:t>
      </w:r>
      <w:r w:rsidRPr="00405681">
        <w:rPr>
          <w:rFonts w:ascii="Calibri" w:hAnsi="Calibri" w:cs="Arial"/>
          <w:sz w:val="20"/>
          <w:szCs w:val="20"/>
        </w:rPr>
        <w:t xml:space="preserve">harged particles traversing without interactions have </w:t>
      </w:r>
      <w:proofErr w:type="spellStart"/>
      <w:r w:rsidRPr="00405681">
        <w:rPr>
          <w:rFonts w:ascii="Calibri" w:hAnsi="Calibri" w:cs="Arial"/>
          <w:sz w:val="20"/>
          <w:szCs w:val="20"/>
        </w:rPr>
        <w:t>d</w:t>
      </w:r>
      <w:r w:rsidRPr="00405681">
        <w:rPr>
          <w:rFonts w:ascii="Calibri" w:hAnsi="Calibri" w:cs="Arial"/>
          <w:i/>
          <w:iCs/>
          <w:sz w:val="20"/>
          <w:szCs w:val="20"/>
        </w:rPr>
        <w:t>E</w:t>
      </w:r>
      <w:proofErr w:type="spellEnd"/>
      <w:r w:rsidR="002416DE">
        <w:rPr>
          <w:rFonts w:ascii="Calibri" w:hAnsi="Calibri" w:cs="Arial"/>
          <w:sz w:val="20"/>
          <w:szCs w:val="20"/>
        </w:rPr>
        <w:t> </w:t>
      </w:r>
      <w:r w:rsidRPr="00405681">
        <w:rPr>
          <w:rFonts w:ascii="Calibri" w:hAnsi="Calibri" w:cs="Arial"/>
          <w:sz w:val="20"/>
          <w:szCs w:val="20"/>
        </w:rPr>
        <w:t>=</w:t>
      </w:r>
      <w:r w:rsidR="002416DE">
        <w:rPr>
          <w:rFonts w:ascii="Calibri" w:hAnsi="Calibri" w:cs="Arial"/>
          <w:sz w:val="20"/>
          <w:szCs w:val="20"/>
        </w:rPr>
        <w:t> </w:t>
      </w:r>
      <w:r w:rsidRPr="00405681">
        <w:rPr>
          <w:rFonts w:ascii="Calibri" w:hAnsi="Calibri" w:cs="Arial"/>
          <w:sz w:val="20"/>
          <w:szCs w:val="20"/>
        </w:rPr>
        <w:t xml:space="preserve">0. </w:t>
      </w:r>
      <w:r w:rsidR="002416DE">
        <w:rPr>
          <w:rFonts w:ascii="Calibri" w:hAnsi="Calibri" w:cs="Arial"/>
          <w:sz w:val="20"/>
          <w:szCs w:val="20"/>
        </w:rPr>
        <w:t>The energy lost in electronic collisions by charge particles identical in type and energy is stochastic:</w:t>
      </w:r>
      <w:r w:rsidRPr="00405681">
        <w:rPr>
          <w:rFonts w:ascii="Calibri" w:hAnsi="Calibri" w:cs="Arial"/>
          <w:sz w:val="20"/>
          <w:szCs w:val="20"/>
        </w:rPr>
        <w:t xml:space="preserve"> LET </w:t>
      </w:r>
      <w:r w:rsidR="002416DE">
        <w:rPr>
          <w:rFonts w:ascii="Calibri" w:hAnsi="Calibri" w:cs="Arial"/>
          <w:sz w:val="20"/>
          <w:szCs w:val="20"/>
        </w:rPr>
        <w:t xml:space="preserve">is the </w:t>
      </w:r>
      <w:r w:rsidRPr="00405681">
        <w:rPr>
          <w:rFonts w:ascii="Calibri" w:hAnsi="Calibri" w:cs="Arial"/>
          <w:sz w:val="20"/>
          <w:szCs w:val="20"/>
        </w:rPr>
        <w:t xml:space="preserve">results </w:t>
      </w:r>
      <w:r w:rsidR="002416DE">
        <w:rPr>
          <w:rFonts w:ascii="Calibri" w:hAnsi="Calibri" w:cs="Arial"/>
          <w:sz w:val="20"/>
          <w:szCs w:val="20"/>
        </w:rPr>
        <w:t xml:space="preserve">of the </w:t>
      </w:r>
      <w:r w:rsidRPr="00405681">
        <w:rPr>
          <w:rFonts w:ascii="Calibri" w:hAnsi="Calibri" w:cs="Arial"/>
          <w:sz w:val="20"/>
          <w:szCs w:val="20"/>
        </w:rPr>
        <w:t>averaging</w:t>
      </w:r>
      <w:r w:rsidR="002416DE">
        <w:rPr>
          <w:rFonts w:ascii="Calibri" w:hAnsi="Calibri" w:cs="Arial"/>
          <w:sz w:val="20"/>
          <w:szCs w:val="20"/>
        </w:rPr>
        <w:t xml:space="preserve"> of those energy losses and is, therefore, </w:t>
      </w:r>
      <w:r w:rsidRPr="00405681">
        <w:rPr>
          <w:rFonts w:ascii="Calibri" w:hAnsi="Calibri" w:cs="Arial"/>
          <w:sz w:val="20"/>
          <w:szCs w:val="20"/>
        </w:rPr>
        <w:t>non-stochastic. The important consequence is that specific particle type and energy the LET is unique. An ideal device for experimental measurement of unrestricted LET would have an exceptionally thin volume (</w:t>
      </w:r>
      <w:r w:rsidR="004D599B" w:rsidRPr="00405681">
        <w:rPr>
          <w:rFonts w:ascii="Calibri" w:hAnsi="Calibri" w:cs="Arial"/>
          <w:sz w:val="20"/>
          <w:szCs w:val="20"/>
        </w:rPr>
        <w:t>d</w:t>
      </w:r>
      <w:r w:rsidR="004D599B" w:rsidRPr="00147224">
        <w:rPr>
          <w:rFonts w:ascii="Times New Roman" w:hAnsi="Times New Roman" w:cs="Times New Roman"/>
          <w:i/>
          <w:iCs/>
          <w:sz w:val="20"/>
          <w:szCs w:val="20"/>
        </w:rPr>
        <w:t>l</w:t>
      </w:r>
      <w:r w:rsidRPr="00405681">
        <w:rPr>
          <w:rFonts w:ascii="Calibri" w:hAnsi="Calibri" w:cs="Arial"/>
          <w:sz w:val="20"/>
          <w:szCs w:val="20"/>
        </w:rPr>
        <w:t xml:space="preserve"> lower than 1 nm) and at the same time be able to capture the ionizations produced by the most energetic delta rays, whose range could </w:t>
      </w:r>
      <w:r w:rsidRPr="00405681">
        <w:rPr>
          <w:rFonts w:ascii="Calibri" w:hAnsi="Calibri" w:cs="Arial"/>
          <w:sz w:val="20"/>
          <w:szCs w:val="20"/>
        </w:rPr>
        <w:t>exceed 1 mm</w:t>
      </w:r>
      <w:r w:rsidR="002416DE">
        <w:rPr>
          <w:rFonts w:ascii="Calibri" w:hAnsi="Calibri" w:cs="Arial"/>
          <w:sz w:val="20"/>
          <w:szCs w:val="20"/>
        </w:rPr>
        <w:t xml:space="preserve"> for the highest energies of </w:t>
      </w:r>
      <w:proofErr w:type="spellStart"/>
      <w:r w:rsidR="002416DE">
        <w:rPr>
          <w:rFonts w:ascii="Calibri" w:hAnsi="Calibri" w:cs="Arial"/>
          <w:sz w:val="20"/>
          <w:szCs w:val="20"/>
        </w:rPr>
        <w:t>theclinical</w:t>
      </w:r>
      <w:proofErr w:type="spellEnd"/>
      <w:r w:rsidR="002416DE">
        <w:rPr>
          <w:rFonts w:ascii="Calibri" w:hAnsi="Calibri" w:cs="Arial"/>
          <w:sz w:val="20"/>
          <w:szCs w:val="20"/>
        </w:rPr>
        <w:t xml:space="preserve"> ion beams</w:t>
      </w:r>
      <w:r w:rsidRPr="00405681">
        <w:rPr>
          <w:rFonts w:ascii="Calibri" w:hAnsi="Calibri" w:cs="Arial"/>
          <w:sz w:val="20"/>
          <w:szCs w:val="20"/>
        </w:rPr>
        <w:t xml:space="preserve">. Such detection is </w:t>
      </w:r>
      <w:r w:rsidR="002416DE">
        <w:rPr>
          <w:rFonts w:ascii="Calibri" w:hAnsi="Calibri" w:cs="Arial"/>
          <w:sz w:val="20"/>
          <w:szCs w:val="20"/>
        </w:rPr>
        <w:t xml:space="preserve">extremely </w:t>
      </w:r>
      <w:r w:rsidRPr="00405681">
        <w:rPr>
          <w:rFonts w:ascii="Calibri" w:hAnsi="Calibri" w:cs="Arial"/>
          <w:sz w:val="20"/>
          <w:szCs w:val="20"/>
        </w:rPr>
        <w:t xml:space="preserve">challenging. However, if energy loss is negligible compared to the total kinetic energy of the ionizing particle, and interactions other than electronic are negligible, unrestricted LET can be estimated experimentally by measuring the difference between entry and exit energy of the particle in a material of thickness </w:t>
      </w:r>
      <w:r w:rsidR="004D599B" w:rsidRPr="00405681">
        <w:rPr>
          <w:rFonts w:ascii="Calibri" w:hAnsi="Calibri" w:cs="Arial"/>
          <w:sz w:val="20"/>
          <w:szCs w:val="20"/>
        </w:rPr>
        <w:t>d</w:t>
      </w:r>
      <w:r w:rsidR="004D599B" w:rsidRPr="00147224">
        <w:rPr>
          <w:rFonts w:ascii="Times New Roman" w:hAnsi="Times New Roman" w:cs="Times New Roman"/>
          <w:i/>
          <w:iCs/>
          <w:sz w:val="20"/>
          <w:szCs w:val="20"/>
        </w:rPr>
        <w:t>l</w:t>
      </w:r>
      <w:r w:rsidRPr="00405681">
        <w:rPr>
          <w:rFonts w:ascii="Calibri" w:hAnsi="Calibri" w:cs="Arial"/>
          <w:sz w:val="20"/>
          <w:szCs w:val="20"/>
        </w:rPr>
        <w:t>.</w:t>
      </w:r>
    </w:p>
    <w:p w14:paraId="1A16A5AD" w14:textId="703DB406" w:rsidR="004D59CB" w:rsidRDefault="004D59CB" w:rsidP="00C856F0">
      <w:pPr>
        <w:jc w:val="both"/>
        <w:rPr>
          <w:rFonts w:ascii="Calibri" w:hAnsi="Calibri" w:cs="Arial"/>
          <w:sz w:val="20"/>
          <w:szCs w:val="20"/>
        </w:rPr>
      </w:pPr>
      <w:r w:rsidRPr="004D59CB">
        <w:rPr>
          <w:rFonts w:ascii="Calibri" w:hAnsi="Calibri" w:cs="Arial"/>
          <w:sz w:val="20"/>
          <w:szCs w:val="20"/>
        </w:rPr>
        <w:t xml:space="preserve">Originally, LET was used as an abbreviation, while the representation of the quantity and its formulas utilized </w:t>
      </w:r>
      <w:r w:rsidRPr="004D59CB">
        <w:rPr>
          <w:rFonts w:ascii="Calibri" w:hAnsi="Calibri" w:cs="Arial"/>
          <w:i/>
          <w:iCs/>
          <w:sz w:val="20"/>
          <w:szCs w:val="20"/>
        </w:rPr>
        <w:t>L</w:t>
      </w:r>
      <w:r w:rsidRPr="004D59CB">
        <w:rPr>
          <w:rFonts w:ascii="Calibri" w:hAnsi="Calibri" w:cs="Arial"/>
          <w:sz w:val="20"/>
          <w:szCs w:val="20"/>
        </w:rPr>
        <w:t xml:space="preserve">. However, in recent years, LET has been </w:t>
      </w:r>
      <w:r w:rsidR="00CB166F">
        <w:rPr>
          <w:rFonts w:ascii="Calibri" w:hAnsi="Calibri" w:cs="Arial"/>
          <w:sz w:val="20"/>
          <w:szCs w:val="20"/>
        </w:rPr>
        <w:t xml:space="preserve">often </w:t>
      </w:r>
      <w:r w:rsidRPr="004D59CB">
        <w:rPr>
          <w:rFonts w:ascii="Calibri" w:hAnsi="Calibri" w:cs="Arial"/>
          <w:sz w:val="20"/>
          <w:szCs w:val="20"/>
        </w:rPr>
        <w:t>adopted in clinical publications, becoming the standard notation in discussions related to radiation therapy and dosimetry.</w:t>
      </w:r>
      <w:r w:rsidR="00CB166F">
        <w:rPr>
          <w:rFonts w:ascii="Calibri" w:hAnsi="Calibri" w:cs="Arial"/>
          <w:sz w:val="20"/>
          <w:szCs w:val="20"/>
        </w:rPr>
        <w:t xml:space="preserve"> For clarity, in the following, the original notation of </w:t>
      </w:r>
      <w:r w:rsidR="00CB166F" w:rsidRPr="00731C9A">
        <w:rPr>
          <w:rFonts w:ascii="Calibri" w:hAnsi="Calibri" w:cs="Arial"/>
          <w:i/>
          <w:iCs/>
          <w:sz w:val="20"/>
          <w:szCs w:val="20"/>
        </w:rPr>
        <w:t>L</w:t>
      </w:r>
      <w:r w:rsidR="00CB166F">
        <w:rPr>
          <w:rFonts w:ascii="Calibri" w:hAnsi="Calibri" w:cs="Arial"/>
          <w:sz w:val="20"/>
          <w:szCs w:val="20"/>
        </w:rPr>
        <w:t xml:space="preserve"> will be used</w:t>
      </w:r>
      <w:r w:rsidR="00731C9A">
        <w:rPr>
          <w:rFonts w:ascii="Calibri" w:hAnsi="Calibri" w:cs="Arial"/>
          <w:sz w:val="20"/>
          <w:szCs w:val="20"/>
        </w:rPr>
        <w:t xml:space="preserve"> for the quantity</w:t>
      </w:r>
      <w:r w:rsidR="00CB166F">
        <w:rPr>
          <w:rFonts w:ascii="Calibri" w:hAnsi="Calibri" w:cs="Arial"/>
          <w:sz w:val="20"/>
          <w:szCs w:val="20"/>
        </w:rPr>
        <w:t xml:space="preserve">. </w:t>
      </w:r>
    </w:p>
    <w:p w14:paraId="5D404F22" w14:textId="204788B9" w:rsidR="007633CD" w:rsidRDefault="00147224" w:rsidP="007633CD">
      <w:pPr>
        <w:jc w:val="both"/>
        <w:rPr>
          <w:rFonts w:ascii="Calibri" w:hAnsi="Calibri" w:cs="Arial"/>
          <w:sz w:val="20"/>
          <w:szCs w:val="20"/>
        </w:rPr>
      </w:pPr>
      <w:r w:rsidRPr="00405681">
        <w:rPr>
          <w:rFonts w:ascii="Calibri" w:hAnsi="Calibri" w:cs="Arial"/>
          <w:i/>
          <w:iCs/>
          <w:sz w:val="20"/>
          <w:szCs w:val="20"/>
          <w:shd w:val="clear" w:color="auto" w:fill="FFFFFF"/>
        </w:rPr>
        <w:t>Restricted LET:</w:t>
      </w:r>
      <w:r w:rsidRPr="00405681">
        <w:rPr>
          <w:rFonts w:ascii="Calibri" w:hAnsi="Calibri" w:cs="Arial"/>
          <w:sz w:val="20"/>
          <w:szCs w:val="20"/>
        </w:rPr>
        <w:t xml:space="preserve"> </w:t>
      </w:r>
      <w:r w:rsidR="007633CD" w:rsidRPr="007633CD">
        <w:rPr>
          <w:rFonts w:ascii="Calibri" w:hAnsi="Calibri" w:cs="Arial"/>
          <w:sz w:val="20"/>
          <w:szCs w:val="20"/>
        </w:rPr>
        <w:t>Restricted Linear Energy Transfer, denoted as ​</w:t>
      </w:r>
      <w:r w:rsidR="007633CD" w:rsidRPr="007633CD">
        <w:rPr>
          <w:rFonts w:ascii="Calibri" w:hAnsi="Calibri" w:cs="Arial"/>
          <w:i/>
          <w:iCs/>
          <w:sz w:val="20"/>
          <w:szCs w:val="20"/>
        </w:rPr>
        <w:t xml:space="preserve"> </w:t>
      </w:r>
      <w:r w:rsidR="007633CD" w:rsidRPr="00CC169A">
        <w:rPr>
          <w:rFonts w:ascii="Calibri" w:hAnsi="Calibri" w:cs="Arial"/>
          <w:i/>
          <w:iCs/>
          <w:sz w:val="20"/>
          <w:szCs w:val="20"/>
        </w:rPr>
        <w:t>L</w:t>
      </w:r>
      <w:proofErr w:type="gramStart"/>
      <w:r w:rsidR="007633CD" w:rsidRPr="00CC169A">
        <w:rPr>
          <w:rFonts w:ascii="Symbol" w:hAnsi="Symbol" w:cs="Arial"/>
          <w:i/>
          <w:iCs/>
          <w:sz w:val="20"/>
          <w:szCs w:val="20"/>
          <w:vertAlign w:val="subscript"/>
        </w:rPr>
        <w:t>D</w:t>
      </w:r>
      <w:r w:rsidR="007633CD" w:rsidRPr="007633CD">
        <w:rPr>
          <w:rFonts w:ascii="Calibri" w:hAnsi="Calibri" w:cs="Arial"/>
          <w:sz w:val="20"/>
          <w:szCs w:val="20"/>
        </w:rPr>
        <w:t xml:space="preserve"> ,</w:t>
      </w:r>
      <w:proofErr w:type="gramEnd"/>
      <w:r w:rsidR="007633CD" w:rsidRPr="007633CD">
        <w:rPr>
          <w:rFonts w:ascii="Calibri" w:hAnsi="Calibri" w:cs="Arial"/>
          <w:sz w:val="20"/>
          <w:szCs w:val="20"/>
        </w:rPr>
        <w:t xml:space="preserve"> follows the general definition of LET but excludes contributions from secondary electrons whose kinetic energy exceeds a specified cutoff energy Δ. The common mathematical expression, as defined in both ICRU Report 60 and ICRU Report 85, is</w:t>
      </w:r>
      <w:r w:rsidR="007633CD">
        <w:rPr>
          <w:rFonts w:ascii="Calibri" w:hAnsi="Calibri" w:cs="Arial"/>
          <w:sz w:val="20"/>
          <w:szCs w:val="20"/>
        </w:rPr>
        <w:t>:</w:t>
      </w:r>
    </w:p>
    <w:p w14:paraId="7FE34DA2" w14:textId="1DD1C0B1" w:rsidR="00556574" w:rsidRDefault="00556574" w:rsidP="00C856F0">
      <w:pPr>
        <w:jc w:val="both"/>
        <w:rPr>
          <w:rFonts w:ascii="Calibri" w:hAnsi="Calibri"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m:t>
              </m:r>
            </m:sub>
          </m:sSub>
          <m:r>
            <w:rPr>
              <w:rFonts w:ascii="Cambria Math" w:hAnsi="Cambria Math" w:cs="Arial"/>
              <w:sz w:val="20"/>
              <w:szCs w:val="20"/>
            </w:rPr>
            <m:t>=</m:t>
          </m:r>
          <m:f>
            <m:fPr>
              <m:ctrlPr>
                <w:rPr>
                  <w:rFonts w:ascii="Cambria Math" w:hAnsi="Cambria Math" w:cs="Arial"/>
                  <w:i/>
                  <w:sz w:val="20"/>
                  <w:szCs w:val="20"/>
                </w:rPr>
              </m:ctrlPr>
            </m:fPr>
            <m:num>
              <m:r>
                <m:rPr>
                  <m:sty m:val="p"/>
                </m:rPr>
                <w:rPr>
                  <w:rFonts w:ascii="Cambria Math" w:hAnsi="Cambria Math" w:cs="Arial"/>
                  <w:sz w:val="20"/>
                  <w:szCs w:val="20"/>
                </w:rPr>
                <m:t>d</m:t>
              </m:r>
              <m:sSub>
                <m:sSubPr>
                  <m:ctrlPr>
                    <w:rPr>
                      <w:rFonts w:ascii="Cambria Math" w:hAnsi="Cambria Math" w:cs="Arial"/>
                      <w:i/>
                      <w:sz w:val="20"/>
                      <w:szCs w:val="20"/>
                    </w:rPr>
                  </m:ctrlPr>
                </m:sSubPr>
                <m:e>
                  <m:r>
                    <w:rPr>
                      <w:rFonts w:ascii="Cambria Math" w:hAnsi="Cambria Math" w:cs="Arial"/>
                      <w:sz w:val="20"/>
                      <w:szCs w:val="20"/>
                    </w:rPr>
                    <m:t>E</m:t>
                  </m:r>
                </m:e>
                <m:sub>
                  <m:r>
                    <w:rPr>
                      <w:rFonts w:ascii="Cambria Math" w:hAnsi="Cambria Math" w:cs="Arial"/>
                      <w:sz w:val="20"/>
                      <w:szCs w:val="20"/>
                    </w:rPr>
                    <m:t>∆</m:t>
                  </m:r>
                </m:sub>
              </m:sSub>
            </m:num>
            <m:den>
              <m:r>
                <m:rPr>
                  <m:sty m:val="p"/>
                </m:rPr>
                <w:rPr>
                  <w:rFonts w:ascii="Cambria Math" w:hAnsi="Cambria Math" w:cs="Arial"/>
                  <w:sz w:val="20"/>
                  <w:szCs w:val="20"/>
                </w:rPr>
                <m:t>d</m:t>
              </m:r>
              <m:r>
                <w:rPr>
                  <w:rFonts w:ascii="Cambria Math" w:hAnsi="Cambria Math" w:cs="Arial"/>
                  <w:sz w:val="20"/>
                  <w:szCs w:val="20"/>
                </w:rPr>
                <m:t>l</m:t>
              </m:r>
            </m:den>
          </m:f>
          <m:r>
            <w:rPr>
              <w:rFonts w:ascii="Cambria Math" w:eastAsiaTheme="minorEastAsia" w:hAnsi="Cambria Math" w:cs="Arial"/>
              <w:sz w:val="20"/>
              <w:szCs w:val="20"/>
            </w:rPr>
            <m:t xml:space="preserve"> ,</m:t>
          </m:r>
        </m:oMath>
      </m:oMathPara>
    </w:p>
    <w:p w14:paraId="54B9BCE4" w14:textId="566EC345" w:rsidR="00CC169A" w:rsidRDefault="00556574" w:rsidP="00C856F0">
      <w:pPr>
        <w:jc w:val="both"/>
        <w:rPr>
          <w:rFonts w:ascii="Calibri" w:hAnsi="Calibri" w:cs="Arial"/>
          <w:sz w:val="20"/>
          <w:szCs w:val="20"/>
        </w:rPr>
      </w:pPr>
      <w:r>
        <w:rPr>
          <w:rFonts w:ascii="Calibri" w:hAnsi="Calibri" w:cs="Arial"/>
          <w:sz w:val="20"/>
          <w:szCs w:val="20"/>
        </w:rPr>
        <w:t>however, the</w:t>
      </w:r>
      <w:r w:rsidR="007633CD" w:rsidRPr="007633CD">
        <w:t xml:space="preserve"> </w:t>
      </w:r>
      <w:r w:rsidR="007633CD" w:rsidRPr="007633CD">
        <w:rPr>
          <w:rFonts w:ascii="Calibri" w:hAnsi="Calibri" w:cs="Arial"/>
          <w:sz w:val="20"/>
          <w:szCs w:val="20"/>
        </w:rPr>
        <w:t>wording differs slightly, reflecting a subtle shift in interpretation:</w:t>
      </w:r>
    </w:p>
    <w:p w14:paraId="62D3C3B5" w14:textId="26D6ECE7" w:rsidR="00CC169A" w:rsidRDefault="00CC169A" w:rsidP="00556574">
      <w:pPr>
        <w:ind w:left="720"/>
        <w:jc w:val="both"/>
        <w:rPr>
          <w:rFonts w:ascii="Calibri" w:hAnsi="Calibri" w:cs="Arial"/>
          <w:sz w:val="20"/>
          <w:szCs w:val="20"/>
        </w:rPr>
      </w:pPr>
      <w:r>
        <w:rPr>
          <w:rFonts w:ascii="Calibri" w:hAnsi="Calibri" w:cs="Arial"/>
          <w:sz w:val="20"/>
          <w:szCs w:val="20"/>
        </w:rPr>
        <w:t>ICRU 60: “</w:t>
      </w:r>
      <w:r w:rsidRPr="00CC169A">
        <w:rPr>
          <w:rFonts w:ascii="Calibri" w:hAnsi="Calibri" w:cs="Arial"/>
          <w:sz w:val="20"/>
          <w:szCs w:val="20"/>
        </w:rPr>
        <w:t>The linear energy transfer or restricted linear electronic stopping power</w:t>
      </w:r>
      <w:r w:rsidRPr="00CC169A">
        <w:rPr>
          <w:rFonts w:ascii="Calibri" w:hAnsi="Calibri" w:cs="Arial"/>
          <w:i/>
          <w:iCs/>
          <w:sz w:val="20"/>
          <w:szCs w:val="20"/>
        </w:rPr>
        <w:t>, L</w:t>
      </w:r>
      <w:r w:rsidRPr="00CC169A">
        <w:rPr>
          <w:rFonts w:ascii="Symbol" w:hAnsi="Symbol" w:cs="Arial"/>
          <w:i/>
          <w:iCs/>
          <w:sz w:val="20"/>
          <w:szCs w:val="20"/>
          <w:vertAlign w:val="subscript"/>
        </w:rPr>
        <w:t>D</w:t>
      </w:r>
      <w:r w:rsidRPr="00CC169A">
        <w:rPr>
          <w:rFonts w:ascii="Calibri" w:hAnsi="Calibri" w:cs="Arial"/>
          <w:i/>
          <w:iCs/>
          <w:sz w:val="20"/>
          <w:szCs w:val="20"/>
        </w:rPr>
        <w:t xml:space="preserve"> </w:t>
      </w:r>
      <w:r w:rsidRPr="00CC169A">
        <w:rPr>
          <w:rFonts w:ascii="Calibri" w:hAnsi="Calibri" w:cs="Arial"/>
          <w:sz w:val="20"/>
          <w:szCs w:val="20"/>
        </w:rPr>
        <w:t>of a material, for charged particles, is the quotient of</w:t>
      </w:r>
      <w:r w:rsidRPr="00CC169A">
        <w:rPr>
          <w:rFonts w:ascii="Calibri" w:hAnsi="Calibri" w:cs="Arial"/>
          <w:i/>
          <w:iCs/>
          <w:sz w:val="20"/>
          <w:szCs w:val="20"/>
        </w:rPr>
        <w:t xml:space="preserve"> </w:t>
      </w:r>
      <w:proofErr w:type="spellStart"/>
      <w:r w:rsidRPr="00CC169A">
        <w:rPr>
          <w:rFonts w:ascii="Calibri" w:hAnsi="Calibri" w:cs="Arial"/>
          <w:sz w:val="20"/>
          <w:szCs w:val="20"/>
        </w:rPr>
        <w:t>d</w:t>
      </w:r>
      <w:r w:rsidRPr="00CC169A">
        <w:rPr>
          <w:rFonts w:ascii="Calibri" w:hAnsi="Calibri" w:cs="Arial"/>
          <w:i/>
          <w:iCs/>
          <w:sz w:val="20"/>
          <w:szCs w:val="20"/>
        </w:rPr>
        <w:t>E</w:t>
      </w:r>
      <w:proofErr w:type="spellEnd"/>
      <w:r w:rsidRPr="00CC169A">
        <w:rPr>
          <w:rFonts w:ascii="Symbol" w:hAnsi="Symbol" w:cs="Arial"/>
          <w:i/>
          <w:iCs/>
          <w:sz w:val="20"/>
          <w:szCs w:val="20"/>
          <w:vertAlign w:val="subscript"/>
        </w:rPr>
        <w:t>D</w:t>
      </w:r>
      <w:r w:rsidRPr="00CC169A">
        <w:rPr>
          <w:rFonts w:ascii="Calibri" w:hAnsi="Calibri" w:cs="Arial"/>
          <w:i/>
          <w:iCs/>
          <w:sz w:val="20"/>
          <w:szCs w:val="20"/>
        </w:rPr>
        <w:t xml:space="preserve"> </w:t>
      </w:r>
      <w:r w:rsidRPr="00CC169A">
        <w:rPr>
          <w:rFonts w:ascii="Calibri" w:hAnsi="Calibri" w:cs="Arial"/>
          <w:sz w:val="20"/>
          <w:szCs w:val="20"/>
        </w:rPr>
        <w:t>by</w:t>
      </w:r>
      <w:r w:rsidRPr="00CC169A">
        <w:rPr>
          <w:rFonts w:ascii="Calibri" w:hAnsi="Calibri" w:cs="Arial"/>
          <w:i/>
          <w:iCs/>
          <w:sz w:val="20"/>
          <w:szCs w:val="20"/>
        </w:rPr>
        <w:t xml:space="preserve"> </w:t>
      </w:r>
      <w:r w:rsidRPr="00CC169A">
        <w:rPr>
          <w:rFonts w:ascii="Calibri" w:hAnsi="Calibri" w:cs="Arial"/>
          <w:sz w:val="20"/>
          <w:szCs w:val="20"/>
        </w:rPr>
        <w:t>d</w:t>
      </w:r>
      <w:r w:rsidRPr="00CC169A">
        <w:rPr>
          <w:rFonts w:ascii="Times New Roman" w:hAnsi="Times New Roman" w:cs="Times New Roman"/>
          <w:i/>
          <w:iCs/>
          <w:sz w:val="20"/>
          <w:szCs w:val="20"/>
        </w:rPr>
        <w:t>l</w:t>
      </w:r>
      <w:r w:rsidRPr="00CC169A">
        <w:rPr>
          <w:rFonts w:ascii="Calibri" w:hAnsi="Calibri" w:cs="Arial"/>
          <w:i/>
          <w:iCs/>
          <w:sz w:val="20"/>
          <w:szCs w:val="20"/>
        </w:rPr>
        <w:t xml:space="preserve">, </w:t>
      </w:r>
      <w:r w:rsidRPr="00CC169A">
        <w:rPr>
          <w:rFonts w:ascii="Calibri" w:hAnsi="Calibri" w:cs="Arial"/>
          <w:sz w:val="20"/>
          <w:szCs w:val="20"/>
        </w:rPr>
        <w:t>where</w:t>
      </w:r>
      <w:r w:rsidRPr="00CC169A">
        <w:rPr>
          <w:rFonts w:ascii="Calibri" w:hAnsi="Calibri" w:cs="Arial"/>
          <w:i/>
          <w:iCs/>
          <w:sz w:val="20"/>
          <w:szCs w:val="20"/>
        </w:rPr>
        <w:t xml:space="preserve"> </w:t>
      </w:r>
      <w:proofErr w:type="spellStart"/>
      <w:r w:rsidRPr="00556574">
        <w:rPr>
          <w:rFonts w:ascii="Calibri" w:hAnsi="Calibri" w:cs="Arial"/>
          <w:sz w:val="20"/>
          <w:szCs w:val="20"/>
        </w:rPr>
        <w:t>d</w:t>
      </w:r>
      <w:r w:rsidRPr="00CC169A">
        <w:rPr>
          <w:rFonts w:ascii="Calibri" w:hAnsi="Calibri" w:cs="Arial"/>
          <w:i/>
          <w:iCs/>
          <w:sz w:val="20"/>
          <w:szCs w:val="20"/>
        </w:rPr>
        <w:t>E</w:t>
      </w:r>
      <w:proofErr w:type="spellEnd"/>
      <w:r w:rsidRPr="00CC169A">
        <w:rPr>
          <w:rFonts w:ascii="Symbol" w:hAnsi="Symbol" w:cs="Arial"/>
          <w:i/>
          <w:iCs/>
          <w:sz w:val="20"/>
          <w:szCs w:val="20"/>
          <w:vertAlign w:val="subscript"/>
        </w:rPr>
        <w:t>D</w:t>
      </w:r>
      <w:r w:rsidRPr="00CC169A">
        <w:rPr>
          <w:rFonts w:ascii="Calibri" w:hAnsi="Calibri" w:cs="Arial"/>
          <w:i/>
          <w:iCs/>
          <w:sz w:val="20"/>
          <w:szCs w:val="20"/>
        </w:rPr>
        <w:t xml:space="preserve"> </w:t>
      </w:r>
      <w:r w:rsidRPr="00CC169A">
        <w:rPr>
          <w:rFonts w:ascii="Calibri" w:hAnsi="Calibri" w:cs="Arial"/>
          <w:sz w:val="20"/>
          <w:szCs w:val="20"/>
        </w:rPr>
        <w:t>is the energy lost by a charged</w:t>
      </w:r>
      <w:r>
        <w:rPr>
          <w:rFonts w:ascii="Calibri" w:hAnsi="Calibri" w:cs="Arial"/>
          <w:sz w:val="20"/>
          <w:szCs w:val="20"/>
        </w:rPr>
        <w:t xml:space="preserve"> </w:t>
      </w:r>
      <w:r w:rsidRPr="00CC169A">
        <w:rPr>
          <w:rFonts w:ascii="Calibri" w:hAnsi="Calibri" w:cs="Arial"/>
          <w:sz w:val="20"/>
          <w:szCs w:val="20"/>
        </w:rPr>
        <w:t>particle due to electronic collisions in traversing a</w:t>
      </w:r>
      <w:r>
        <w:rPr>
          <w:rFonts w:ascii="Calibri" w:hAnsi="Calibri" w:cs="Arial"/>
          <w:sz w:val="20"/>
          <w:szCs w:val="20"/>
        </w:rPr>
        <w:t xml:space="preserve"> </w:t>
      </w:r>
      <w:r w:rsidRPr="00CC169A">
        <w:rPr>
          <w:rFonts w:ascii="Calibri" w:hAnsi="Calibri" w:cs="Arial"/>
          <w:sz w:val="20"/>
          <w:szCs w:val="20"/>
        </w:rPr>
        <w:t>distance</w:t>
      </w:r>
      <w:r w:rsidRPr="00CC169A">
        <w:rPr>
          <w:rFonts w:ascii="Calibri" w:hAnsi="Calibri" w:cs="Arial"/>
          <w:i/>
          <w:iCs/>
          <w:sz w:val="20"/>
          <w:szCs w:val="20"/>
        </w:rPr>
        <w:t xml:space="preserve"> </w:t>
      </w:r>
      <w:r w:rsidRPr="00CC169A">
        <w:rPr>
          <w:rFonts w:ascii="Calibri" w:hAnsi="Calibri" w:cs="Arial"/>
          <w:sz w:val="20"/>
          <w:szCs w:val="20"/>
        </w:rPr>
        <w:t>d</w:t>
      </w:r>
      <w:r w:rsidRPr="00CC169A">
        <w:rPr>
          <w:rFonts w:ascii="Times New Roman" w:hAnsi="Times New Roman" w:cs="Times New Roman"/>
          <w:i/>
          <w:iCs/>
          <w:sz w:val="20"/>
          <w:szCs w:val="20"/>
        </w:rPr>
        <w:t>l</w:t>
      </w:r>
      <w:r w:rsidRPr="00CC169A">
        <w:rPr>
          <w:rFonts w:ascii="Calibri" w:hAnsi="Calibri" w:cs="Arial"/>
          <w:i/>
          <w:iCs/>
          <w:sz w:val="20"/>
          <w:szCs w:val="20"/>
        </w:rPr>
        <w:t xml:space="preserve">, </w:t>
      </w:r>
      <w:r w:rsidRPr="00CC169A">
        <w:rPr>
          <w:rFonts w:ascii="Calibri" w:hAnsi="Calibri" w:cs="Arial"/>
          <w:sz w:val="20"/>
          <w:szCs w:val="20"/>
        </w:rPr>
        <w:t>minus the sum of</w:t>
      </w:r>
      <w:r w:rsidRPr="00CC169A">
        <w:rPr>
          <w:rFonts w:ascii="Calibri" w:hAnsi="Calibri" w:cs="Arial"/>
          <w:sz w:val="20"/>
          <w:szCs w:val="20"/>
        </w:rPr>
        <w:t xml:space="preserve"> </w:t>
      </w:r>
      <w:r w:rsidRPr="00CC169A">
        <w:rPr>
          <w:rFonts w:ascii="Calibri" w:hAnsi="Calibri" w:cs="Arial"/>
          <w:sz w:val="20"/>
          <w:szCs w:val="20"/>
        </w:rPr>
        <w:t>the kinetic energies</w:t>
      </w:r>
      <w:r w:rsidRPr="00CC169A">
        <w:rPr>
          <w:rFonts w:ascii="Calibri" w:hAnsi="Calibri" w:cs="Arial"/>
          <w:sz w:val="20"/>
          <w:szCs w:val="20"/>
        </w:rPr>
        <w:t xml:space="preserve"> </w:t>
      </w:r>
      <w:r w:rsidRPr="00CC169A">
        <w:rPr>
          <w:rFonts w:ascii="Calibri" w:hAnsi="Calibri" w:cs="Arial"/>
          <w:sz w:val="20"/>
          <w:szCs w:val="20"/>
        </w:rPr>
        <w:t>of all the electrons released with kinetic energies</w:t>
      </w:r>
      <w:r>
        <w:rPr>
          <w:rFonts w:ascii="Calibri" w:hAnsi="Calibri" w:cs="Arial"/>
          <w:sz w:val="20"/>
          <w:szCs w:val="20"/>
        </w:rPr>
        <w:t xml:space="preserve"> </w:t>
      </w:r>
      <w:r w:rsidRPr="00CC169A">
        <w:rPr>
          <w:rFonts w:ascii="Calibri" w:hAnsi="Calibri" w:cs="Arial"/>
          <w:sz w:val="20"/>
          <w:szCs w:val="20"/>
        </w:rPr>
        <w:t>in excess of</w:t>
      </w:r>
      <w:r w:rsidR="00556574">
        <w:rPr>
          <w:rFonts w:ascii="Calibri" w:hAnsi="Calibri" w:cs="Arial"/>
          <w:sz w:val="20"/>
          <w:szCs w:val="20"/>
        </w:rPr>
        <w:t> </w:t>
      </w:r>
      <w:r w:rsidR="00556574" w:rsidRPr="00556574">
        <w:rPr>
          <w:rFonts w:ascii="Symbol" w:hAnsi="Symbol" w:cs="Arial"/>
          <w:i/>
          <w:iCs/>
          <w:sz w:val="20"/>
          <w:szCs w:val="20"/>
        </w:rPr>
        <w:t>D</w:t>
      </w:r>
      <w:r w:rsidR="00556574">
        <w:rPr>
          <w:rFonts w:ascii="Calibri" w:hAnsi="Calibri" w:cs="Arial"/>
          <w:sz w:val="20"/>
          <w:szCs w:val="20"/>
        </w:rPr>
        <w:t xml:space="preserve">. </w:t>
      </w:r>
    </w:p>
    <w:p w14:paraId="1E4B16D6" w14:textId="583CD03A" w:rsidR="00556574" w:rsidRDefault="00556574" w:rsidP="00556574">
      <w:pPr>
        <w:ind w:left="720"/>
        <w:jc w:val="both"/>
        <w:rPr>
          <w:rFonts w:ascii="Calibri" w:hAnsi="Calibri" w:cs="Arial"/>
          <w:sz w:val="20"/>
          <w:szCs w:val="20"/>
        </w:rPr>
      </w:pPr>
      <w:r>
        <w:rPr>
          <w:rFonts w:ascii="Calibri" w:hAnsi="Calibri" w:cs="Arial"/>
          <w:sz w:val="20"/>
          <w:szCs w:val="20"/>
        </w:rPr>
        <w:t xml:space="preserve">ICRU </w:t>
      </w:r>
      <w:r>
        <w:rPr>
          <w:rFonts w:ascii="Calibri" w:hAnsi="Calibri" w:cs="Arial"/>
          <w:sz w:val="20"/>
          <w:szCs w:val="20"/>
        </w:rPr>
        <w:t>85</w:t>
      </w:r>
      <w:r>
        <w:rPr>
          <w:rFonts w:ascii="Calibri" w:hAnsi="Calibri" w:cs="Arial"/>
          <w:sz w:val="20"/>
          <w:szCs w:val="20"/>
        </w:rPr>
        <w:t xml:space="preserve">: </w:t>
      </w:r>
      <w:r>
        <w:rPr>
          <w:rFonts w:ascii="Calibri" w:hAnsi="Calibri" w:cs="Arial"/>
          <w:sz w:val="20"/>
          <w:szCs w:val="20"/>
        </w:rPr>
        <w:t>“</w:t>
      </w:r>
      <w:r w:rsidRPr="00556574">
        <w:rPr>
          <w:rFonts w:ascii="Calibri" w:hAnsi="Calibri" w:cs="Arial"/>
          <w:sz w:val="20"/>
          <w:szCs w:val="20"/>
        </w:rPr>
        <w:t>The linear energy transfer or restricted linear</w:t>
      </w:r>
      <w:r>
        <w:rPr>
          <w:rFonts w:ascii="Calibri" w:hAnsi="Calibri" w:cs="Arial"/>
          <w:sz w:val="20"/>
          <w:szCs w:val="20"/>
        </w:rPr>
        <w:t xml:space="preserve"> </w:t>
      </w:r>
      <w:r w:rsidRPr="00556574">
        <w:rPr>
          <w:rFonts w:ascii="Calibri" w:hAnsi="Calibri" w:cs="Arial"/>
          <w:sz w:val="20"/>
          <w:szCs w:val="20"/>
        </w:rPr>
        <w:t>electronic stopping power, L</w:t>
      </w:r>
      <w:r w:rsidRPr="00556574">
        <w:rPr>
          <w:rFonts w:ascii="Symbol" w:hAnsi="Symbol" w:cs="Arial"/>
          <w:sz w:val="20"/>
          <w:szCs w:val="20"/>
          <w:vertAlign w:val="subscript"/>
        </w:rPr>
        <w:t>D</w:t>
      </w:r>
      <w:r w:rsidRPr="00556574">
        <w:rPr>
          <w:rFonts w:ascii="Calibri" w:hAnsi="Calibri" w:cs="Arial"/>
          <w:sz w:val="20"/>
          <w:szCs w:val="20"/>
        </w:rPr>
        <w:t>, of a material, for</w:t>
      </w:r>
      <w:r>
        <w:rPr>
          <w:rFonts w:ascii="Calibri" w:hAnsi="Calibri" w:cs="Arial"/>
          <w:sz w:val="20"/>
          <w:szCs w:val="20"/>
        </w:rPr>
        <w:t xml:space="preserve"> </w:t>
      </w:r>
      <w:r w:rsidRPr="00556574">
        <w:rPr>
          <w:rFonts w:ascii="Calibri" w:hAnsi="Calibri" w:cs="Arial"/>
          <w:sz w:val="20"/>
          <w:szCs w:val="20"/>
        </w:rPr>
        <w:t>charged particles of a given type and energy, is</w:t>
      </w:r>
      <w:r>
        <w:rPr>
          <w:rFonts w:ascii="Calibri" w:hAnsi="Calibri" w:cs="Arial"/>
          <w:sz w:val="20"/>
          <w:szCs w:val="20"/>
        </w:rPr>
        <w:t xml:space="preserve"> </w:t>
      </w:r>
      <w:r w:rsidRPr="00556574">
        <w:rPr>
          <w:rFonts w:ascii="Calibri" w:hAnsi="Calibri" w:cs="Arial"/>
          <w:sz w:val="20"/>
          <w:szCs w:val="20"/>
        </w:rPr>
        <w:t xml:space="preserve">the quotient of </w:t>
      </w:r>
      <w:proofErr w:type="spellStart"/>
      <w:r w:rsidRPr="00556574">
        <w:rPr>
          <w:rFonts w:ascii="Calibri" w:hAnsi="Calibri" w:cs="Arial"/>
          <w:sz w:val="20"/>
          <w:szCs w:val="20"/>
        </w:rPr>
        <w:t>d</w:t>
      </w:r>
      <w:r w:rsidRPr="00556574">
        <w:rPr>
          <w:rFonts w:ascii="Calibri" w:hAnsi="Calibri" w:cs="Arial"/>
          <w:i/>
          <w:iCs/>
          <w:sz w:val="20"/>
          <w:szCs w:val="20"/>
        </w:rPr>
        <w:t>E</w:t>
      </w:r>
      <w:r w:rsidRPr="00556574">
        <w:rPr>
          <w:rFonts w:ascii="Symbol" w:hAnsi="Symbol" w:cs="Arial"/>
          <w:i/>
          <w:iCs/>
          <w:sz w:val="20"/>
          <w:szCs w:val="20"/>
          <w:vertAlign w:val="subscript"/>
        </w:rPr>
        <w:t>D</w:t>
      </w:r>
      <w:proofErr w:type="spellEnd"/>
      <w:r w:rsidRPr="00556574">
        <w:rPr>
          <w:rFonts w:ascii="Calibri" w:hAnsi="Calibri" w:cs="Arial"/>
          <w:sz w:val="20"/>
          <w:szCs w:val="20"/>
        </w:rPr>
        <w:t xml:space="preserve"> by </w:t>
      </w:r>
      <w:r w:rsidRPr="00CC169A">
        <w:rPr>
          <w:rFonts w:ascii="Calibri" w:hAnsi="Calibri" w:cs="Arial"/>
          <w:sz w:val="20"/>
          <w:szCs w:val="20"/>
        </w:rPr>
        <w:t>d</w:t>
      </w:r>
      <w:r w:rsidRPr="00CC169A">
        <w:rPr>
          <w:rFonts w:ascii="Times New Roman" w:hAnsi="Times New Roman" w:cs="Times New Roman"/>
          <w:i/>
          <w:iCs/>
          <w:sz w:val="20"/>
          <w:szCs w:val="20"/>
        </w:rPr>
        <w:t>l</w:t>
      </w:r>
      <w:r w:rsidRPr="00556574">
        <w:rPr>
          <w:rFonts w:ascii="Calibri" w:hAnsi="Calibri" w:cs="Arial"/>
          <w:sz w:val="20"/>
          <w:szCs w:val="20"/>
        </w:rPr>
        <w:t xml:space="preserve">, where </w:t>
      </w:r>
      <w:proofErr w:type="spellStart"/>
      <w:r w:rsidRPr="00556574">
        <w:rPr>
          <w:rFonts w:ascii="Calibri" w:hAnsi="Calibri" w:cs="Arial"/>
          <w:sz w:val="20"/>
          <w:szCs w:val="20"/>
        </w:rPr>
        <w:t>d</w:t>
      </w:r>
      <w:r w:rsidRPr="00556574">
        <w:rPr>
          <w:rFonts w:ascii="Calibri" w:hAnsi="Calibri" w:cs="Arial"/>
          <w:i/>
          <w:iCs/>
          <w:sz w:val="20"/>
          <w:szCs w:val="20"/>
        </w:rPr>
        <w:t>E</w:t>
      </w:r>
      <w:proofErr w:type="spellEnd"/>
      <w:r w:rsidRPr="00556574">
        <w:rPr>
          <w:rFonts w:ascii="Symbol" w:hAnsi="Symbol" w:cs="Arial"/>
          <w:i/>
          <w:iCs/>
          <w:sz w:val="20"/>
          <w:szCs w:val="20"/>
          <w:vertAlign w:val="subscript"/>
        </w:rPr>
        <w:t>D</w:t>
      </w:r>
      <w:r w:rsidRPr="00556574">
        <w:rPr>
          <w:rFonts w:ascii="Calibri" w:hAnsi="Calibri" w:cs="Arial"/>
          <w:sz w:val="20"/>
          <w:szCs w:val="20"/>
        </w:rPr>
        <w:t xml:space="preserve"> is the</w:t>
      </w:r>
      <w:r>
        <w:rPr>
          <w:rFonts w:ascii="Calibri" w:hAnsi="Calibri" w:cs="Arial"/>
          <w:sz w:val="20"/>
          <w:szCs w:val="20"/>
        </w:rPr>
        <w:t xml:space="preserve"> </w:t>
      </w:r>
      <w:r w:rsidRPr="00556574">
        <w:rPr>
          <w:rFonts w:ascii="Calibri" w:hAnsi="Calibri" w:cs="Arial"/>
          <w:sz w:val="20"/>
          <w:szCs w:val="20"/>
        </w:rPr>
        <w:t>mean energy lost by the charged particles due to</w:t>
      </w:r>
      <w:r>
        <w:rPr>
          <w:rFonts w:ascii="Calibri" w:hAnsi="Calibri" w:cs="Arial"/>
          <w:sz w:val="20"/>
          <w:szCs w:val="20"/>
        </w:rPr>
        <w:t xml:space="preserve"> </w:t>
      </w:r>
      <w:r w:rsidRPr="00556574">
        <w:rPr>
          <w:rFonts w:ascii="Calibri" w:hAnsi="Calibri" w:cs="Arial"/>
          <w:sz w:val="20"/>
          <w:szCs w:val="20"/>
        </w:rPr>
        <w:t>electronic interactions in traversing a distance</w:t>
      </w:r>
      <w:r>
        <w:rPr>
          <w:rFonts w:ascii="Calibri" w:hAnsi="Calibri" w:cs="Arial"/>
          <w:sz w:val="20"/>
          <w:szCs w:val="20"/>
        </w:rPr>
        <w:t xml:space="preserve"> </w:t>
      </w:r>
      <w:r w:rsidR="00DA64CC" w:rsidRPr="00CC169A">
        <w:rPr>
          <w:rFonts w:ascii="Calibri" w:hAnsi="Calibri" w:cs="Arial"/>
          <w:sz w:val="20"/>
          <w:szCs w:val="20"/>
        </w:rPr>
        <w:t>d</w:t>
      </w:r>
      <w:r w:rsidR="00DA64CC" w:rsidRPr="00CC169A">
        <w:rPr>
          <w:rFonts w:ascii="Times New Roman" w:hAnsi="Times New Roman" w:cs="Times New Roman"/>
          <w:i/>
          <w:iCs/>
          <w:sz w:val="20"/>
          <w:szCs w:val="20"/>
        </w:rPr>
        <w:t>l</w:t>
      </w:r>
      <w:r w:rsidR="00DA64CC" w:rsidRPr="00556574">
        <w:rPr>
          <w:rFonts w:ascii="Calibri" w:hAnsi="Calibri" w:cs="Arial"/>
          <w:sz w:val="20"/>
          <w:szCs w:val="20"/>
        </w:rPr>
        <w:t>,</w:t>
      </w:r>
      <w:r w:rsidRPr="00556574">
        <w:rPr>
          <w:rFonts w:ascii="Calibri" w:hAnsi="Calibri" w:cs="Arial"/>
          <w:sz w:val="20"/>
          <w:szCs w:val="20"/>
        </w:rPr>
        <w:t xml:space="preserve"> minus the mean sum of the kinetic energies</w:t>
      </w:r>
      <w:r>
        <w:rPr>
          <w:rFonts w:ascii="Calibri" w:hAnsi="Calibri" w:cs="Arial"/>
          <w:sz w:val="20"/>
          <w:szCs w:val="20"/>
        </w:rPr>
        <w:t xml:space="preserve"> </w:t>
      </w:r>
      <w:r w:rsidRPr="00556574">
        <w:rPr>
          <w:rFonts w:ascii="Calibri" w:hAnsi="Calibri" w:cs="Arial"/>
          <w:sz w:val="20"/>
          <w:szCs w:val="20"/>
        </w:rPr>
        <w:t xml:space="preserve">in excess of </w:t>
      </w:r>
      <w:r w:rsidRPr="00DA64CC">
        <w:rPr>
          <w:rFonts w:ascii="Symbol" w:hAnsi="Symbol" w:cs="Arial"/>
          <w:i/>
          <w:iCs/>
          <w:sz w:val="20"/>
          <w:szCs w:val="20"/>
        </w:rPr>
        <w:t>D</w:t>
      </w:r>
      <w:r w:rsidRPr="00556574">
        <w:rPr>
          <w:rFonts w:ascii="Calibri" w:hAnsi="Calibri" w:cs="Arial"/>
          <w:sz w:val="20"/>
          <w:szCs w:val="20"/>
        </w:rPr>
        <w:t xml:space="preserve"> of all the electrons released by the</w:t>
      </w:r>
      <w:r>
        <w:rPr>
          <w:rFonts w:ascii="Calibri" w:hAnsi="Calibri" w:cs="Arial"/>
          <w:sz w:val="20"/>
          <w:szCs w:val="20"/>
        </w:rPr>
        <w:t xml:space="preserve"> </w:t>
      </w:r>
      <w:r w:rsidRPr="00556574">
        <w:rPr>
          <w:rFonts w:ascii="Calibri" w:hAnsi="Calibri" w:cs="Arial"/>
          <w:sz w:val="20"/>
          <w:szCs w:val="20"/>
        </w:rPr>
        <w:t>charged particles</w:t>
      </w:r>
    </w:p>
    <w:p w14:paraId="1ABECEFB" w14:textId="4D65D9A7" w:rsidR="00E43660" w:rsidRDefault="00B14371" w:rsidP="00B14371">
      <w:pPr>
        <w:jc w:val="both"/>
        <w:rPr>
          <w:rFonts w:ascii="Calibri" w:hAnsi="Calibri" w:cs="Arial"/>
          <w:sz w:val="20"/>
          <w:szCs w:val="20"/>
        </w:rPr>
      </w:pPr>
      <w:r>
        <w:rPr>
          <w:rFonts w:ascii="Calibri" w:hAnsi="Calibri" w:cs="Arial"/>
          <w:sz w:val="20"/>
          <w:szCs w:val="20"/>
        </w:rPr>
        <w:lastRenderedPageBreak/>
        <w:t xml:space="preserve">The </w:t>
      </w:r>
      <w:r w:rsidR="00057666">
        <w:rPr>
          <w:rFonts w:ascii="Calibri" w:hAnsi="Calibri" w:cs="Arial"/>
          <w:sz w:val="20"/>
          <w:szCs w:val="20"/>
        </w:rPr>
        <w:t>interpret</w:t>
      </w:r>
      <w:r>
        <w:rPr>
          <w:rFonts w:ascii="Calibri" w:hAnsi="Calibri" w:cs="Arial"/>
          <w:sz w:val="20"/>
          <w:szCs w:val="20"/>
        </w:rPr>
        <w:t>ation is that</w:t>
      </w:r>
      <w:r w:rsidR="00057666">
        <w:rPr>
          <w:rFonts w:ascii="Calibri" w:hAnsi="Calibri" w:cs="Arial"/>
          <w:sz w:val="20"/>
          <w:szCs w:val="20"/>
        </w:rPr>
        <w:t>, in the earlier version</w:t>
      </w:r>
      <w:r>
        <w:rPr>
          <w:rFonts w:ascii="Calibri" w:hAnsi="Calibri" w:cs="Arial"/>
          <w:sz w:val="20"/>
          <w:szCs w:val="20"/>
        </w:rPr>
        <w:t xml:space="preserve"> of ICRU 60</w:t>
      </w:r>
      <w:r w:rsidR="00057666">
        <w:rPr>
          <w:rFonts w:ascii="Calibri" w:hAnsi="Calibri" w:cs="Arial"/>
          <w:sz w:val="20"/>
          <w:szCs w:val="20"/>
        </w:rPr>
        <w:t xml:space="preserve">, </w:t>
      </w:r>
      <w:r>
        <w:rPr>
          <w:rFonts w:ascii="Calibri" w:hAnsi="Calibri" w:cs="Arial"/>
          <w:sz w:val="20"/>
          <w:szCs w:val="20"/>
        </w:rPr>
        <w:t>ele</w:t>
      </w:r>
      <w:r w:rsidRPr="00B14371">
        <w:rPr>
          <w:rFonts w:ascii="Calibri" w:hAnsi="Calibri" w:cs="Arial"/>
          <w:sz w:val="20"/>
          <w:szCs w:val="20"/>
        </w:rPr>
        <w:t>ctrons with energy above Δ</w:t>
      </w:r>
      <w:r>
        <w:rPr>
          <w:rFonts w:ascii="Calibri" w:hAnsi="Calibri" w:cs="Arial"/>
          <w:sz w:val="20"/>
          <w:szCs w:val="20"/>
        </w:rPr>
        <w:t xml:space="preserve"> are </w:t>
      </w:r>
      <w:r w:rsidRPr="00B14371">
        <w:rPr>
          <w:rFonts w:ascii="Calibri" w:hAnsi="Calibri" w:cs="Arial"/>
          <w:sz w:val="20"/>
          <w:szCs w:val="20"/>
        </w:rPr>
        <w:t>entirely excluded from the calculation</w:t>
      </w:r>
      <w:r w:rsidR="00057666">
        <w:rPr>
          <w:rFonts w:ascii="Calibri" w:hAnsi="Calibri" w:cs="Arial"/>
          <w:sz w:val="20"/>
          <w:szCs w:val="20"/>
        </w:rPr>
        <w:t>, while the most recent</w:t>
      </w:r>
      <w:r>
        <w:rPr>
          <w:rFonts w:ascii="Calibri" w:hAnsi="Calibri" w:cs="Arial"/>
          <w:sz w:val="20"/>
          <w:szCs w:val="20"/>
        </w:rPr>
        <w:t xml:space="preserve"> version of ICRU 85</w:t>
      </w:r>
      <w:r w:rsidR="00057666">
        <w:rPr>
          <w:rFonts w:ascii="Calibri" w:hAnsi="Calibri" w:cs="Arial"/>
          <w:sz w:val="20"/>
          <w:szCs w:val="20"/>
        </w:rPr>
        <w:t>,</w:t>
      </w:r>
      <w:r w:rsidRPr="00B14371">
        <w:t xml:space="preserve"> </w:t>
      </w:r>
      <w:r>
        <w:t>t</w:t>
      </w:r>
      <w:r w:rsidRPr="00B14371">
        <w:rPr>
          <w:rFonts w:ascii="Calibri" w:hAnsi="Calibri" w:cs="Arial"/>
          <w:sz w:val="20"/>
          <w:szCs w:val="20"/>
        </w:rPr>
        <w:t>he energy up to Δ from those electrons is included, and only the excess is subtracted</w:t>
      </w:r>
      <w:r w:rsidR="00E43660">
        <w:rPr>
          <w:rFonts w:ascii="Calibri" w:hAnsi="Calibri" w:cs="Arial"/>
          <w:sz w:val="20"/>
          <w:szCs w:val="20"/>
        </w:rPr>
        <w:t xml:space="preserve">. </w:t>
      </w:r>
    </w:p>
    <w:p w14:paraId="4D128990" w14:textId="77777777" w:rsidR="00E43660" w:rsidRDefault="00E43660" w:rsidP="00E43660">
      <w:pPr>
        <w:jc w:val="both"/>
        <w:rPr>
          <w:rFonts w:ascii="Symbol" w:hAnsi="Symbol" w:cs="Arial"/>
          <w:i/>
          <w:iCs/>
          <w:sz w:val="20"/>
          <w:szCs w:val="20"/>
        </w:rPr>
      </w:pPr>
      <w:r w:rsidRPr="00BC1C92">
        <w:rPr>
          <w:rFonts w:ascii="Calibri" w:hAnsi="Calibri" w:cs="Arial"/>
          <w:noProof/>
          <w:sz w:val="20"/>
          <w:szCs w:val="20"/>
        </w:rPr>
        <mc:AlternateContent>
          <mc:Choice Requires="wps">
            <w:drawing>
              <wp:inline distT="0" distB="0" distL="0" distR="0" wp14:anchorId="7118C588" wp14:editId="17D37A14">
                <wp:extent cx="2667000" cy="2915919"/>
                <wp:effectExtent l="0" t="0" r="19050" b="2476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915919"/>
                        </a:xfrm>
                        <a:prstGeom prst="rect">
                          <a:avLst/>
                        </a:prstGeom>
                        <a:solidFill>
                          <a:srgbClr val="FFFFFF"/>
                        </a:solidFill>
                        <a:ln w="9525">
                          <a:solidFill>
                            <a:srgbClr val="000000"/>
                          </a:solidFill>
                          <a:miter lim="800000"/>
                          <a:headEnd/>
                          <a:tailEnd/>
                        </a:ln>
                      </wps:spPr>
                      <wps:txbx>
                        <w:txbxContent>
                          <w:p w14:paraId="765FA77C" w14:textId="77777777" w:rsidR="00BC31AF" w:rsidRDefault="00BC31AF" w:rsidP="00E43660">
                            <w:pPr>
                              <w:jc w:val="both"/>
                              <w:rPr>
                                <w:rFonts w:ascii="Calibri" w:hAnsi="Calibri" w:cs="Arial"/>
                                <w:sz w:val="20"/>
                                <w:szCs w:val="20"/>
                              </w:rPr>
                            </w:pPr>
                            <w:r w:rsidRPr="00BC31AF">
                              <w:rPr>
                                <w:rFonts w:ascii="Calibri" w:hAnsi="Calibri" w:cs="Arial"/>
                                <w:sz w:val="20"/>
                                <w:szCs w:val="20"/>
                              </w:rPr>
                              <w:t>Let us consider a highly simplified and hypothetical example, intended solely to illustrate the conceptual difference between the two definitions of restricted LET.</w:t>
                            </w:r>
                            <w:r>
                              <w:rPr>
                                <w:rFonts w:ascii="Calibri" w:hAnsi="Calibri" w:cs="Arial"/>
                                <w:sz w:val="20"/>
                                <w:szCs w:val="20"/>
                              </w:rPr>
                              <w:t xml:space="preserve"> </w:t>
                            </w:r>
                          </w:p>
                          <w:p w14:paraId="6CE64002" w14:textId="7FCD96A3" w:rsidR="00E43660" w:rsidRDefault="00BC31AF" w:rsidP="00BC31AF">
                            <w:pPr>
                              <w:jc w:val="both"/>
                              <w:rPr>
                                <w:rFonts w:ascii="Calibri" w:hAnsi="Calibri" w:cs="Arial"/>
                                <w:sz w:val="20"/>
                                <w:szCs w:val="20"/>
                              </w:rPr>
                            </w:pPr>
                            <w:r w:rsidRPr="00BC31AF">
                              <w:rPr>
                                <w:rFonts w:ascii="Calibri" w:hAnsi="Calibri" w:cs="Arial"/>
                                <w:sz w:val="20"/>
                                <w:szCs w:val="20"/>
                              </w:rPr>
                              <w:t>An ion traverses a path length</w:t>
                            </w:r>
                            <w:r>
                              <w:rPr>
                                <w:rFonts w:ascii="Calibri" w:hAnsi="Calibri" w:cs="Arial"/>
                                <w:sz w:val="20"/>
                                <w:szCs w:val="20"/>
                              </w:rPr>
                              <w:t xml:space="preserve"> </w:t>
                            </w:r>
                            <w:r w:rsidRPr="00CC169A">
                              <w:rPr>
                                <w:rFonts w:ascii="Calibri" w:hAnsi="Calibri" w:cs="Arial"/>
                                <w:sz w:val="20"/>
                                <w:szCs w:val="20"/>
                              </w:rPr>
                              <w:t>d</w:t>
                            </w:r>
                            <w:r w:rsidRPr="00CC169A">
                              <w:rPr>
                                <w:rFonts w:ascii="Times New Roman" w:hAnsi="Times New Roman" w:cs="Times New Roman"/>
                                <w:i/>
                                <w:iCs/>
                                <w:sz w:val="20"/>
                                <w:szCs w:val="20"/>
                              </w:rPr>
                              <w:t>l</w:t>
                            </w:r>
                            <w:r>
                              <w:rPr>
                                <w:rFonts w:ascii="Calibri" w:hAnsi="Calibri" w:cs="Arial"/>
                                <w:sz w:val="20"/>
                                <w:szCs w:val="20"/>
                              </w:rPr>
                              <w:t xml:space="preserve"> </w:t>
                            </w:r>
                            <w:r w:rsidRPr="00BC31AF">
                              <w:rPr>
                                <w:rFonts w:ascii="Calibri" w:hAnsi="Calibri" w:cs="Arial"/>
                                <w:sz w:val="20"/>
                                <w:szCs w:val="20"/>
                              </w:rPr>
                              <w:t>of 1 nanometer and produces three secondary electrons with kinetic energies of</w:t>
                            </w:r>
                            <w:r w:rsidR="00E43660">
                              <w:rPr>
                                <w:rFonts w:ascii="Calibri" w:hAnsi="Calibri" w:cs="Arial"/>
                                <w:sz w:val="20"/>
                                <w:szCs w:val="20"/>
                              </w:rPr>
                              <w:t xml:space="preserve"> 20 eV, 30 eV, and 110 eV. </w:t>
                            </w:r>
                            <w:r w:rsidRPr="00BC31AF">
                              <w:rPr>
                                <w:rFonts w:ascii="Calibri" w:hAnsi="Calibri" w:cs="Arial"/>
                                <w:sz w:val="20"/>
                                <w:szCs w:val="20"/>
                              </w:rPr>
                              <w:t>We choose a cutoff energy Δ</w:t>
                            </w:r>
                            <w:r>
                              <w:rPr>
                                <w:rFonts w:ascii="Calibri" w:hAnsi="Calibri" w:cs="Arial"/>
                                <w:sz w:val="20"/>
                                <w:szCs w:val="20"/>
                              </w:rPr>
                              <w:t> </w:t>
                            </w:r>
                            <w:r w:rsidRPr="00BC31AF">
                              <w:rPr>
                                <w:rFonts w:ascii="Calibri" w:hAnsi="Calibri" w:cs="Arial"/>
                                <w:sz w:val="20"/>
                                <w:szCs w:val="20"/>
                              </w:rPr>
                              <w:t>=</w:t>
                            </w:r>
                            <w:r>
                              <w:rPr>
                                <w:rFonts w:ascii="Calibri" w:hAnsi="Calibri" w:cs="Arial"/>
                                <w:sz w:val="20"/>
                                <w:szCs w:val="20"/>
                              </w:rPr>
                              <w:t> </w:t>
                            </w:r>
                            <w:r w:rsidRPr="00BC31AF">
                              <w:rPr>
                                <w:rFonts w:ascii="Calibri" w:hAnsi="Calibri" w:cs="Arial"/>
                                <w:sz w:val="20"/>
                                <w:szCs w:val="20"/>
                              </w:rPr>
                              <w:t>100 eV, and compute LET₁₀₀ according to both ICRU definitions</w:t>
                            </w:r>
                            <w:r w:rsidR="00E43660">
                              <w:rPr>
                                <w:rFonts w:ascii="Calibri" w:hAnsi="Calibri" w:cs="Arial"/>
                                <w:sz w:val="20"/>
                                <w:szCs w:val="20"/>
                              </w:rPr>
                              <w:t xml:space="preserve">: </w:t>
                            </w:r>
                          </w:p>
                          <w:p w14:paraId="775AD3E3" w14:textId="164DD9A8" w:rsidR="00BC31AF" w:rsidRPr="00BC31AF" w:rsidRDefault="00BC31AF" w:rsidP="00BC31AF">
                            <w:pPr>
                              <w:jc w:val="both"/>
                              <w:rPr>
                                <w:rFonts w:ascii="Calibri" w:hAnsi="Calibri" w:cs="Arial"/>
                                <w:sz w:val="20"/>
                                <w:szCs w:val="20"/>
                              </w:rPr>
                            </w:pPr>
                            <w:r w:rsidRPr="00BC31AF">
                              <w:rPr>
                                <w:rFonts w:ascii="Calibri" w:hAnsi="Calibri" w:cs="Arial"/>
                                <w:sz w:val="20"/>
                                <w:szCs w:val="20"/>
                              </w:rPr>
                              <w:t xml:space="preserve">In ICRU 60, any electron with energy exceeding Δ is entirely excluded from the energy </w:t>
                            </w:r>
                            <w:r>
                              <w:rPr>
                                <w:rFonts w:ascii="Calibri" w:hAnsi="Calibri" w:cs="Arial"/>
                                <w:sz w:val="20"/>
                                <w:szCs w:val="20"/>
                              </w:rPr>
                              <w:t>deposition so o</w:t>
                            </w:r>
                            <w:r w:rsidRPr="00BC31AF">
                              <w:rPr>
                                <w:rFonts w:ascii="Calibri" w:hAnsi="Calibri" w:cs="Arial"/>
                                <w:sz w:val="20"/>
                                <w:szCs w:val="20"/>
                              </w:rPr>
                              <w:t>nly electrons with energy ≤ 100 eV contribute</w:t>
                            </w:r>
                            <w:r>
                              <w:rPr>
                                <w:rFonts w:ascii="Calibri" w:hAnsi="Calibri" w:cs="Arial"/>
                                <w:sz w:val="20"/>
                                <w:szCs w:val="20"/>
                              </w:rPr>
                              <w:t>:</w:t>
                            </w:r>
                          </w:p>
                          <w:p w14:paraId="1D8592E6" w14:textId="45A9EC40" w:rsidR="00901AA3" w:rsidRDefault="00BC31AF" w:rsidP="00BC31AF">
                            <w:pPr>
                              <w:jc w:val="both"/>
                              <w:rPr>
                                <w:rFonts w:ascii="Calibri" w:hAnsi="Calibri" w:cs="Arial"/>
                                <w:sz w:val="20"/>
                                <w:szCs w:val="20"/>
                              </w:rPr>
                            </w:pPr>
                            <w:r>
                              <w:rPr>
                                <w:rFonts w:ascii="Calibri" w:hAnsi="Calibri" w:cs="Arial"/>
                                <w:sz w:val="20"/>
                                <w:szCs w:val="20"/>
                              </w:rPr>
                              <w:t xml:space="preserve">       </w:t>
                            </w:r>
                            <w:proofErr w:type="spellStart"/>
                            <w:r w:rsidR="00E43660" w:rsidRPr="00556574">
                              <w:rPr>
                                <w:rFonts w:ascii="Calibri" w:hAnsi="Calibri" w:cs="Arial"/>
                                <w:sz w:val="20"/>
                                <w:szCs w:val="20"/>
                              </w:rPr>
                              <w:t>d</w:t>
                            </w:r>
                            <w:r w:rsidR="00E43660" w:rsidRPr="00556574">
                              <w:rPr>
                                <w:rFonts w:ascii="Calibri" w:hAnsi="Calibri" w:cs="Arial"/>
                                <w:i/>
                                <w:iCs/>
                                <w:sz w:val="20"/>
                                <w:szCs w:val="20"/>
                              </w:rPr>
                              <w:t>E</w:t>
                            </w:r>
                            <w:proofErr w:type="spellEnd"/>
                            <w:r w:rsidR="00E43660" w:rsidRPr="00556574">
                              <w:rPr>
                                <w:rFonts w:ascii="Symbol" w:hAnsi="Symbol" w:cs="Arial"/>
                                <w:i/>
                                <w:iCs/>
                                <w:sz w:val="20"/>
                                <w:szCs w:val="20"/>
                                <w:vertAlign w:val="subscript"/>
                              </w:rPr>
                              <w:t>D</w:t>
                            </w:r>
                            <w:r w:rsidR="00E43660">
                              <w:rPr>
                                <w:rFonts w:ascii="Calibri" w:hAnsi="Calibri" w:cs="Arial"/>
                                <w:sz w:val="20"/>
                                <w:szCs w:val="20"/>
                              </w:rPr>
                              <w:t> = 20 eV + 30 eV + 0 eV = 50 eV</w:t>
                            </w:r>
                            <w:r w:rsidR="00901AA3">
                              <w:rPr>
                                <w:rFonts w:ascii="Calibri" w:hAnsi="Calibri" w:cs="Arial"/>
                                <w:sz w:val="20"/>
                                <w:szCs w:val="20"/>
                              </w:rPr>
                              <w:t xml:space="preserve"> </w:t>
                            </w:r>
                          </w:p>
                          <w:p w14:paraId="22E89FBB" w14:textId="430EABD6" w:rsidR="00E43660" w:rsidRDefault="00901AA3" w:rsidP="00901AA3">
                            <w:pPr>
                              <w:jc w:val="both"/>
                              <w:rPr>
                                <w:rFonts w:ascii="Calibri" w:hAnsi="Calibri" w:cs="Arial"/>
                                <w:sz w:val="20"/>
                                <w:szCs w:val="20"/>
                              </w:rPr>
                            </w:pPr>
                            <w:r>
                              <w:rPr>
                                <w:rFonts w:ascii="Calibri" w:hAnsi="Calibri" w:cs="Arial"/>
                                <w:sz w:val="20"/>
                                <w:szCs w:val="20"/>
                              </w:rPr>
                              <w:t xml:space="preserve">       </w:t>
                            </w:r>
                            <w:r w:rsidR="00E43660">
                              <w:rPr>
                                <w:rFonts w:ascii="Calibri" w:hAnsi="Calibri" w:cs="Arial"/>
                                <w:sz w:val="20"/>
                                <w:szCs w:val="20"/>
                              </w:rPr>
                              <w:t>LET</w:t>
                            </w:r>
                            <w:r w:rsidR="00E43660" w:rsidRPr="00B24A0D">
                              <w:rPr>
                                <w:rFonts w:ascii="Calibri" w:hAnsi="Calibri" w:cs="Arial"/>
                                <w:sz w:val="20"/>
                                <w:szCs w:val="20"/>
                                <w:vertAlign w:val="subscript"/>
                              </w:rPr>
                              <w:t>100</w:t>
                            </w:r>
                            <w:r w:rsidR="00E43660">
                              <w:rPr>
                                <w:rFonts w:ascii="Calibri" w:hAnsi="Calibri" w:cs="Arial"/>
                                <w:sz w:val="20"/>
                                <w:szCs w:val="20"/>
                              </w:rPr>
                              <w:t> </w:t>
                            </w:r>
                            <w:r w:rsidR="00BC31AF">
                              <w:rPr>
                                <w:rFonts w:ascii="Calibri" w:hAnsi="Calibri" w:cs="Arial"/>
                                <w:sz w:val="20"/>
                                <w:szCs w:val="20"/>
                              </w:rPr>
                              <w:t>(ICRU 60)</w:t>
                            </w:r>
                            <w:r w:rsidR="00FD1556">
                              <w:rPr>
                                <w:rFonts w:ascii="Calibri" w:hAnsi="Calibri" w:cs="Arial"/>
                                <w:sz w:val="20"/>
                                <w:szCs w:val="20"/>
                              </w:rPr>
                              <w:t> </w:t>
                            </w:r>
                            <w:r w:rsidR="00E43660">
                              <w:rPr>
                                <w:rFonts w:ascii="Calibri" w:hAnsi="Calibri" w:cs="Arial"/>
                                <w:sz w:val="20"/>
                                <w:szCs w:val="20"/>
                              </w:rPr>
                              <w:t>= 50 keV·µm</w:t>
                            </w:r>
                            <w:r w:rsidR="00E43660" w:rsidRPr="00B24A0D">
                              <w:rPr>
                                <w:rFonts w:ascii="Calibri" w:hAnsi="Calibri" w:cs="Arial"/>
                                <w:sz w:val="20"/>
                                <w:szCs w:val="20"/>
                                <w:vertAlign w:val="superscript"/>
                              </w:rPr>
                              <w:t>-1</w:t>
                            </w:r>
                            <w:r w:rsidR="00E43660">
                              <w:rPr>
                                <w:rFonts w:ascii="Calibri" w:hAnsi="Calibri" w:cs="Arial"/>
                                <w:sz w:val="20"/>
                                <w:szCs w:val="20"/>
                              </w:rPr>
                              <w:t xml:space="preserve">, while </w:t>
                            </w:r>
                          </w:p>
                          <w:p w14:paraId="514480D4" w14:textId="2109AB38" w:rsidR="00E43660" w:rsidRDefault="00BC31AF" w:rsidP="00E43660">
                            <w:pPr>
                              <w:jc w:val="both"/>
                              <w:rPr>
                                <w:rFonts w:ascii="Calibri" w:hAnsi="Calibri" w:cs="Arial"/>
                                <w:sz w:val="20"/>
                                <w:szCs w:val="20"/>
                              </w:rPr>
                            </w:pPr>
                            <w:r w:rsidRPr="00BC31AF">
                              <w:rPr>
                                <w:rFonts w:ascii="Calibri" w:hAnsi="Calibri" w:cs="Arial"/>
                                <w:sz w:val="20"/>
                                <w:szCs w:val="20"/>
                              </w:rPr>
                              <w:t xml:space="preserve">In ICRU 85, only the energy exceeding Δ is subtracted from </w:t>
                            </w:r>
                            <w:r>
                              <w:rPr>
                                <w:rFonts w:ascii="Calibri" w:hAnsi="Calibri" w:cs="Arial"/>
                                <w:sz w:val="20"/>
                                <w:szCs w:val="20"/>
                              </w:rPr>
                              <w:t xml:space="preserve">the </w:t>
                            </w:r>
                            <w:r w:rsidRPr="00BC31AF">
                              <w:rPr>
                                <w:rFonts w:ascii="Calibri" w:hAnsi="Calibri" w:cs="Arial"/>
                                <w:sz w:val="20"/>
                                <w:szCs w:val="20"/>
                              </w:rPr>
                              <w:t>contribution</w:t>
                            </w:r>
                            <w:r w:rsidRPr="00BC31AF">
                              <w:rPr>
                                <w:rFonts w:ascii="Calibri" w:hAnsi="Calibri" w:cs="Arial"/>
                                <w:sz w:val="20"/>
                                <w:szCs w:val="20"/>
                              </w:rPr>
                              <w:t xml:space="preserve"> </w:t>
                            </w:r>
                            <w:r>
                              <w:rPr>
                                <w:rFonts w:ascii="Calibri" w:hAnsi="Calibri" w:cs="Arial"/>
                                <w:sz w:val="20"/>
                                <w:szCs w:val="20"/>
                              </w:rPr>
                              <w:t xml:space="preserve">of </w:t>
                            </w:r>
                            <w:r w:rsidRPr="00BC31AF">
                              <w:rPr>
                                <w:rFonts w:ascii="Calibri" w:hAnsi="Calibri" w:cs="Arial"/>
                                <w:sz w:val="20"/>
                                <w:szCs w:val="20"/>
                              </w:rPr>
                              <w:t xml:space="preserve">each </w:t>
                            </w:r>
                            <w:r w:rsidR="005D50BC" w:rsidRPr="00BC31AF">
                              <w:rPr>
                                <w:rFonts w:ascii="Calibri" w:hAnsi="Calibri" w:cs="Arial"/>
                                <w:sz w:val="20"/>
                                <w:szCs w:val="20"/>
                              </w:rPr>
                              <w:t>electron</w:t>
                            </w:r>
                            <w:r>
                              <w:rPr>
                                <w:rFonts w:ascii="Calibri" w:hAnsi="Calibri" w:cs="Arial"/>
                                <w:sz w:val="20"/>
                                <w:szCs w:val="20"/>
                              </w:rPr>
                              <w:t xml:space="preserve"> so t</w:t>
                            </w:r>
                            <w:r w:rsidRPr="00BC31AF">
                              <w:rPr>
                                <w:rFonts w:ascii="Calibri" w:hAnsi="Calibri" w:cs="Arial"/>
                                <w:sz w:val="20"/>
                                <w:szCs w:val="20"/>
                              </w:rPr>
                              <w:t xml:space="preserve">he </w:t>
                            </w:r>
                            <w:proofErr w:type="gramStart"/>
                            <w:r w:rsidRPr="00BC31AF">
                              <w:rPr>
                                <w:rFonts w:ascii="Calibri" w:hAnsi="Calibri" w:cs="Arial"/>
                                <w:sz w:val="20"/>
                                <w:szCs w:val="20"/>
                              </w:rPr>
                              <w:t>110 eV</w:t>
                            </w:r>
                            <w:proofErr w:type="gramEnd"/>
                            <w:r w:rsidRPr="00BC31AF">
                              <w:rPr>
                                <w:rFonts w:ascii="Calibri" w:hAnsi="Calibri" w:cs="Arial"/>
                                <w:sz w:val="20"/>
                                <w:szCs w:val="20"/>
                              </w:rPr>
                              <w:t xml:space="preserve"> electron contributes (110 − 10) = 10</w:t>
                            </w:r>
                            <w:r>
                              <w:rPr>
                                <w:rFonts w:ascii="Calibri" w:hAnsi="Calibri" w:cs="Arial"/>
                                <w:sz w:val="20"/>
                                <w:szCs w:val="20"/>
                              </w:rPr>
                              <w:t>0</w:t>
                            </w:r>
                            <w:r w:rsidRPr="00BC31AF">
                              <w:rPr>
                                <w:rFonts w:ascii="Calibri" w:hAnsi="Calibri" w:cs="Arial"/>
                                <w:sz w:val="20"/>
                                <w:szCs w:val="20"/>
                              </w:rPr>
                              <w:t xml:space="preserve"> eV</w:t>
                            </w:r>
                            <w:r>
                              <w:rPr>
                                <w:rFonts w:ascii="Calibri" w:hAnsi="Calibri" w:cs="Arial"/>
                                <w:sz w:val="20"/>
                                <w:szCs w:val="20"/>
                              </w:rPr>
                              <w:t xml:space="preserve"> and a</w:t>
                            </w:r>
                            <w:r w:rsidRPr="00BC31AF">
                              <w:rPr>
                                <w:rFonts w:ascii="Calibri" w:hAnsi="Calibri" w:cs="Arial"/>
                                <w:sz w:val="20"/>
                                <w:szCs w:val="20"/>
                              </w:rPr>
                              <w:t>ll other energy is included</w:t>
                            </w:r>
                            <w:r>
                              <w:rPr>
                                <w:rFonts w:ascii="Calibri" w:hAnsi="Calibri" w:cs="Arial"/>
                                <w:sz w:val="20"/>
                                <w:szCs w:val="20"/>
                              </w:rPr>
                              <w:t>:</w:t>
                            </w:r>
                          </w:p>
                          <w:p w14:paraId="1196DFF2" w14:textId="77777777" w:rsidR="00901AA3" w:rsidRDefault="00901AA3" w:rsidP="00901AA3">
                            <w:pPr>
                              <w:jc w:val="both"/>
                              <w:rPr>
                                <w:rFonts w:ascii="Calibri" w:hAnsi="Calibri" w:cs="Arial"/>
                                <w:sz w:val="20"/>
                                <w:szCs w:val="20"/>
                              </w:rPr>
                            </w:pPr>
                            <w:r>
                              <w:rPr>
                                <w:rFonts w:ascii="Calibri" w:hAnsi="Calibri" w:cs="Arial"/>
                                <w:sz w:val="20"/>
                                <w:szCs w:val="20"/>
                              </w:rPr>
                              <w:t xml:space="preserve">       </w:t>
                            </w:r>
                            <w:proofErr w:type="spellStart"/>
                            <w:r w:rsidR="00E43660" w:rsidRPr="00556574">
                              <w:rPr>
                                <w:rFonts w:ascii="Calibri" w:hAnsi="Calibri" w:cs="Arial"/>
                                <w:sz w:val="20"/>
                                <w:szCs w:val="20"/>
                              </w:rPr>
                              <w:t>d</w:t>
                            </w:r>
                            <w:r w:rsidR="00E43660" w:rsidRPr="00556574">
                              <w:rPr>
                                <w:rFonts w:ascii="Calibri" w:hAnsi="Calibri" w:cs="Arial"/>
                                <w:i/>
                                <w:iCs/>
                                <w:sz w:val="20"/>
                                <w:szCs w:val="20"/>
                              </w:rPr>
                              <w:t>E</w:t>
                            </w:r>
                            <w:proofErr w:type="spellEnd"/>
                            <w:r w:rsidR="00E43660" w:rsidRPr="00556574">
                              <w:rPr>
                                <w:rFonts w:ascii="Symbol" w:hAnsi="Symbol" w:cs="Arial"/>
                                <w:i/>
                                <w:iCs/>
                                <w:sz w:val="20"/>
                                <w:szCs w:val="20"/>
                                <w:vertAlign w:val="subscript"/>
                              </w:rPr>
                              <w:t>D</w:t>
                            </w:r>
                            <w:r w:rsidR="00E43660">
                              <w:rPr>
                                <w:rFonts w:ascii="Calibri" w:hAnsi="Calibri" w:cs="Arial"/>
                                <w:sz w:val="20"/>
                                <w:szCs w:val="20"/>
                              </w:rPr>
                              <w:t> = 20 eV + 30 eV+ (110-10) eV = 150 eV</w:t>
                            </w:r>
                          </w:p>
                          <w:p w14:paraId="4C0F3230" w14:textId="22BCE0F4" w:rsidR="00E43660" w:rsidRDefault="00901AA3" w:rsidP="00901AA3">
                            <w:pPr>
                              <w:jc w:val="both"/>
                              <w:rPr>
                                <w:rFonts w:ascii="Calibri" w:hAnsi="Calibri" w:cs="Arial"/>
                                <w:sz w:val="20"/>
                                <w:szCs w:val="20"/>
                              </w:rPr>
                            </w:pPr>
                            <w:r>
                              <w:rPr>
                                <w:rFonts w:ascii="Calibri" w:hAnsi="Calibri" w:cs="Arial"/>
                                <w:sz w:val="20"/>
                                <w:szCs w:val="20"/>
                              </w:rPr>
                              <w:t xml:space="preserve">       </w:t>
                            </w:r>
                            <w:r w:rsidR="00E43660">
                              <w:rPr>
                                <w:rFonts w:ascii="Calibri" w:hAnsi="Calibri" w:cs="Arial"/>
                                <w:sz w:val="20"/>
                                <w:szCs w:val="20"/>
                              </w:rPr>
                              <w:t>LET</w:t>
                            </w:r>
                            <w:r w:rsidR="00E43660" w:rsidRPr="00B24A0D">
                              <w:rPr>
                                <w:rFonts w:ascii="Calibri" w:hAnsi="Calibri" w:cs="Arial"/>
                                <w:sz w:val="20"/>
                                <w:szCs w:val="20"/>
                                <w:vertAlign w:val="subscript"/>
                              </w:rPr>
                              <w:t>100</w:t>
                            </w:r>
                            <w:r w:rsidR="00E43660">
                              <w:rPr>
                                <w:rFonts w:ascii="Calibri" w:hAnsi="Calibri" w:cs="Arial"/>
                                <w:sz w:val="20"/>
                                <w:szCs w:val="20"/>
                              </w:rPr>
                              <w:t> </w:t>
                            </w:r>
                            <w:r w:rsidR="00FD1556">
                              <w:rPr>
                                <w:rFonts w:ascii="Calibri" w:hAnsi="Calibri" w:cs="Arial"/>
                                <w:sz w:val="20"/>
                                <w:szCs w:val="20"/>
                              </w:rPr>
                              <w:t>(ICRU 85) </w:t>
                            </w:r>
                            <w:r w:rsidR="00E43660">
                              <w:rPr>
                                <w:rFonts w:ascii="Calibri" w:hAnsi="Calibri" w:cs="Arial"/>
                                <w:sz w:val="20"/>
                                <w:szCs w:val="20"/>
                              </w:rPr>
                              <w:t>= 150 keV·µm</w:t>
                            </w:r>
                            <w:r w:rsidR="00E43660" w:rsidRPr="00B24A0D">
                              <w:rPr>
                                <w:rFonts w:ascii="Calibri" w:hAnsi="Calibri" w:cs="Arial"/>
                                <w:sz w:val="20"/>
                                <w:szCs w:val="20"/>
                                <w:vertAlign w:val="superscript"/>
                              </w:rPr>
                              <w:t>-1</w:t>
                            </w:r>
                          </w:p>
                        </w:txbxContent>
                      </wps:txbx>
                      <wps:bodyPr rot="0" vert="horz" wrap="square" lIns="91440" tIns="45720" rIns="91440" bIns="45720" anchor="t" anchorCtr="0">
                        <a:spAutoFit/>
                      </wps:bodyPr>
                    </wps:wsp>
                  </a:graphicData>
                </a:graphic>
              </wp:inline>
            </w:drawing>
          </mc:Choice>
          <mc:Fallback>
            <w:pict>
              <v:shapetype w14:anchorId="7118C588" id="_x0000_t202" coordsize="21600,21600" o:spt="202" path="m,l,21600r21600,l21600,xe">
                <v:stroke joinstyle="miter"/>
                <v:path gradientshapeok="t" o:connecttype="rect"/>
              </v:shapetype>
              <v:shape id="Text Box 2" o:spid="_x0000_s1026" type="#_x0000_t202" style="width:210pt;height:2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">
                <v:textbox style="mso-fit-shape-to-text:t">
                  <w:txbxContent>
                    <w:p w14:paraId="765FA77C" w14:textId="77777777" w:rsidR="00BC31AF" w:rsidRDefault="00BC31AF" w:rsidP="00E43660">
                      <w:pPr>
                        <w:jc w:val="both"/>
                        <w:rPr>
                          <w:rFonts w:ascii="Calibri" w:hAnsi="Calibri" w:cs="Arial"/>
                          <w:sz w:val="20"/>
                          <w:szCs w:val="20"/>
                        </w:rPr>
                      </w:pPr>
                      <w:r w:rsidRPr="00BC31AF">
                        <w:rPr>
                          <w:rFonts w:ascii="Calibri" w:hAnsi="Calibri" w:cs="Arial"/>
                          <w:sz w:val="20"/>
                          <w:szCs w:val="20"/>
                        </w:rPr>
                        <w:t>Let us consider a highly simplified and hypothetical example, intended solely to illustrate the conceptual difference between the two definitions of restricted LET.</w:t>
                      </w:r>
                      <w:r>
                        <w:rPr>
                          <w:rFonts w:ascii="Calibri" w:hAnsi="Calibri" w:cs="Arial"/>
                          <w:sz w:val="20"/>
                          <w:szCs w:val="20"/>
                        </w:rPr>
                        <w:t xml:space="preserve"> </w:t>
                      </w:r>
                    </w:p>
                    <w:p w14:paraId="6CE64002" w14:textId="7FCD96A3" w:rsidR="00E43660" w:rsidRDefault="00BC31AF" w:rsidP="00BC31AF">
                      <w:pPr>
                        <w:jc w:val="both"/>
                        <w:rPr>
                          <w:rFonts w:ascii="Calibri" w:hAnsi="Calibri" w:cs="Arial"/>
                          <w:sz w:val="20"/>
                          <w:szCs w:val="20"/>
                        </w:rPr>
                      </w:pPr>
                      <w:r w:rsidRPr="00BC31AF">
                        <w:rPr>
                          <w:rFonts w:ascii="Calibri" w:hAnsi="Calibri" w:cs="Arial"/>
                          <w:sz w:val="20"/>
                          <w:szCs w:val="20"/>
                        </w:rPr>
                        <w:t>An ion traverses a path length</w:t>
                      </w:r>
                      <w:r>
                        <w:rPr>
                          <w:rFonts w:ascii="Calibri" w:hAnsi="Calibri" w:cs="Arial"/>
                          <w:sz w:val="20"/>
                          <w:szCs w:val="20"/>
                        </w:rPr>
                        <w:t xml:space="preserve"> </w:t>
                      </w:r>
                      <w:r w:rsidRPr="00CC169A">
                        <w:rPr>
                          <w:rFonts w:ascii="Calibri" w:hAnsi="Calibri" w:cs="Arial"/>
                          <w:sz w:val="20"/>
                          <w:szCs w:val="20"/>
                        </w:rPr>
                        <w:t>d</w:t>
                      </w:r>
                      <w:r w:rsidRPr="00CC169A">
                        <w:rPr>
                          <w:rFonts w:ascii="Times New Roman" w:hAnsi="Times New Roman" w:cs="Times New Roman"/>
                          <w:i/>
                          <w:iCs/>
                          <w:sz w:val="20"/>
                          <w:szCs w:val="20"/>
                        </w:rPr>
                        <w:t>l</w:t>
                      </w:r>
                      <w:r>
                        <w:rPr>
                          <w:rFonts w:ascii="Calibri" w:hAnsi="Calibri" w:cs="Arial"/>
                          <w:sz w:val="20"/>
                          <w:szCs w:val="20"/>
                        </w:rPr>
                        <w:t xml:space="preserve"> </w:t>
                      </w:r>
                      <w:r w:rsidRPr="00BC31AF">
                        <w:rPr>
                          <w:rFonts w:ascii="Calibri" w:hAnsi="Calibri" w:cs="Arial"/>
                          <w:sz w:val="20"/>
                          <w:szCs w:val="20"/>
                        </w:rPr>
                        <w:t>of 1 nanometer and produces three secondary electrons with kinetic energies of</w:t>
                      </w:r>
                      <w:r w:rsidR="00E43660">
                        <w:rPr>
                          <w:rFonts w:ascii="Calibri" w:hAnsi="Calibri" w:cs="Arial"/>
                          <w:sz w:val="20"/>
                          <w:szCs w:val="20"/>
                        </w:rPr>
                        <w:t xml:space="preserve"> 20 eV, 30 eV, and 110 eV. </w:t>
                      </w:r>
                      <w:r w:rsidRPr="00BC31AF">
                        <w:rPr>
                          <w:rFonts w:ascii="Calibri" w:hAnsi="Calibri" w:cs="Arial"/>
                          <w:sz w:val="20"/>
                          <w:szCs w:val="20"/>
                        </w:rPr>
                        <w:t>We choose a cutoff energy Δ</w:t>
                      </w:r>
                      <w:r>
                        <w:rPr>
                          <w:rFonts w:ascii="Calibri" w:hAnsi="Calibri" w:cs="Arial"/>
                          <w:sz w:val="20"/>
                          <w:szCs w:val="20"/>
                        </w:rPr>
                        <w:t> </w:t>
                      </w:r>
                      <w:r w:rsidRPr="00BC31AF">
                        <w:rPr>
                          <w:rFonts w:ascii="Calibri" w:hAnsi="Calibri" w:cs="Arial"/>
                          <w:sz w:val="20"/>
                          <w:szCs w:val="20"/>
                        </w:rPr>
                        <w:t>=</w:t>
                      </w:r>
                      <w:r>
                        <w:rPr>
                          <w:rFonts w:ascii="Calibri" w:hAnsi="Calibri" w:cs="Arial"/>
                          <w:sz w:val="20"/>
                          <w:szCs w:val="20"/>
                        </w:rPr>
                        <w:t> </w:t>
                      </w:r>
                      <w:r w:rsidRPr="00BC31AF">
                        <w:rPr>
                          <w:rFonts w:ascii="Calibri" w:hAnsi="Calibri" w:cs="Arial"/>
                          <w:sz w:val="20"/>
                          <w:szCs w:val="20"/>
                        </w:rPr>
                        <w:t>100 eV, and compute LET₁₀₀ according to both ICRU definitions</w:t>
                      </w:r>
                      <w:r w:rsidR="00E43660">
                        <w:rPr>
                          <w:rFonts w:ascii="Calibri" w:hAnsi="Calibri" w:cs="Arial"/>
                          <w:sz w:val="20"/>
                          <w:szCs w:val="20"/>
                        </w:rPr>
                        <w:t xml:space="preserve">: </w:t>
                      </w:r>
                    </w:p>
                    <w:p w14:paraId="775AD3E3" w14:textId="164DD9A8" w:rsidR="00BC31AF" w:rsidRPr="00BC31AF" w:rsidRDefault="00BC31AF" w:rsidP="00BC31AF">
                      <w:pPr>
                        <w:jc w:val="both"/>
                        <w:rPr>
                          <w:rFonts w:ascii="Calibri" w:hAnsi="Calibri" w:cs="Arial"/>
                          <w:sz w:val="20"/>
                          <w:szCs w:val="20"/>
                        </w:rPr>
                      </w:pPr>
                      <w:r w:rsidRPr="00BC31AF">
                        <w:rPr>
                          <w:rFonts w:ascii="Calibri" w:hAnsi="Calibri" w:cs="Arial"/>
                          <w:sz w:val="20"/>
                          <w:szCs w:val="20"/>
                        </w:rPr>
                        <w:t xml:space="preserve">In ICRU 60, any electron with energy exceeding Δ is entirely excluded from the energy </w:t>
                      </w:r>
                      <w:r>
                        <w:rPr>
                          <w:rFonts w:ascii="Calibri" w:hAnsi="Calibri" w:cs="Arial"/>
                          <w:sz w:val="20"/>
                          <w:szCs w:val="20"/>
                        </w:rPr>
                        <w:t>deposition so o</w:t>
                      </w:r>
                      <w:r w:rsidRPr="00BC31AF">
                        <w:rPr>
                          <w:rFonts w:ascii="Calibri" w:hAnsi="Calibri" w:cs="Arial"/>
                          <w:sz w:val="20"/>
                          <w:szCs w:val="20"/>
                        </w:rPr>
                        <w:t>nly electrons with energy ≤ 100 eV contribute</w:t>
                      </w:r>
                      <w:r>
                        <w:rPr>
                          <w:rFonts w:ascii="Calibri" w:hAnsi="Calibri" w:cs="Arial"/>
                          <w:sz w:val="20"/>
                          <w:szCs w:val="20"/>
                        </w:rPr>
                        <w:t>:</w:t>
                      </w:r>
                    </w:p>
                    <w:p w14:paraId="1D8592E6" w14:textId="45A9EC40" w:rsidR="00901AA3" w:rsidRDefault="00BC31AF" w:rsidP="00BC31AF">
                      <w:pPr>
                        <w:jc w:val="both"/>
                        <w:rPr>
                          <w:rFonts w:ascii="Calibri" w:hAnsi="Calibri" w:cs="Arial"/>
                          <w:sz w:val="20"/>
                          <w:szCs w:val="20"/>
                        </w:rPr>
                      </w:pPr>
                      <w:r>
                        <w:rPr>
                          <w:rFonts w:ascii="Calibri" w:hAnsi="Calibri" w:cs="Arial"/>
                          <w:sz w:val="20"/>
                          <w:szCs w:val="20"/>
                        </w:rPr>
                        <w:t xml:space="preserve">       </w:t>
                      </w:r>
                      <w:proofErr w:type="spellStart"/>
                      <w:r w:rsidR="00E43660" w:rsidRPr="00556574">
                        <w:rPr>
                          <w:rFonts w:ascii="Calibri" w:hAnsi="Calibri" w:cs="Arial"/>
                          <w:sz w:val="20"/>
                          <w:szCs w:val="20"/>
                        </w:rPr>
                        <w:t>d</w:t>
                      </w:r>
                      <w:r w:rsidR="00E43660" w:rsidRPr="00556574">
                        <w:rPr>
                          <w:rFonts w:ascii="Calibri" w:hAnsi="Calibri" w:cs="Arial"/>
                          <w:i/>
                          <w:iCs/>
                          <w:sz w:val="20"/>
                          <w:szCs w:val="20"/>
                        </w:rPr>
                        <w:t>E</w:t>
                      </w:r>
                      <w:proofErr w:type="spellEnd"/>
                      <w:r w:rsidR="00E43660" w:rsidRPr="00556574">
                        <w:rPr>
                          <w:rFonts w:ascii="Symbol" w:hAnsi="Symbol" w:cs="Arial"/>
                          <w:i/>
                          <w:iCs/>
                          <w:sz w:val="20"/>
                          <w:szCs w:val="20"/>
                          <w:vertAlign w:val="subscript"/>
                        </w:rPr>
                        <w:t>D</w:t>
                      </w:r>
                      <w:r w:rsidR="00E43660">
                        <w:rPr>
                          <w:rFonts w:ascii="Calibri" w:hAnsi="Calibri" w:cs="Arial"/>
                          <w:sz w:val="20"/>
                          <w:szCs w:val="20"/>
                        </w:rPr>
                        <w:t> = 20 eV + 30 eV + 0 eV = 50 eV</w:t>
                      </w:r>
                      <w:r w:rsidR="00901AA3">
                        <w:rPr>
                          <w:rFonts w:ascii="Calibri" w:hAnsi="Calibri" w:cs="Arial"/>
                          <w:sz w:val="20"/>
                          <w:szCs w:val="20"/>
                        </w:rPr>
                        <w:t xml:space="preserve"> </w:t>
                      </w:r>
                    </w:p>
                    <w:p w14:paraId="22E89FBB" w14:textId="430EABD6" w:rsidR="00E43660" w:rsidRDefault="00901AA3" w:rsidP="00901AA3">
                      <w:pPr>
                        <w:jc w:val="both"/>
                        <w:rPr>
                          <w:rFonts w:ascii="Calibri" w:hAnsi="Calibri" w:cs="Arial"/>
                          <w:sz w:val="20"/>
                          <w:szCs w:val="20"/>
                        </w:rPr>
                      </w:pPr>
                      <w:r>
                        <w:rPr>
                          <w:rFonts w:ascii="Calibri" w:hAnsi="Calibri" w:cs="Arial"/>
                          <w:sz w:val="20"/>
                          <w:szCs w:val="20"/>
                        </w:rPr>
                        <w:t xml:space="preserve">       </w:t>
                      </w:r>
                      <w:r w:rsidR="00E43660">
                        <w:rPr>
                          <w:rFonts w:ascii="Calibri" w:hAnsi="Calibri" w:cs="Arial"/>
                          <w:sz w:val="20"/>
                          <w:szCs w:val="20"/>
                        </w:rPr>
                        <w:t>LET</w:t>
                      </w:r>
                      <w:r w:rsidR="00E43660" w:rsidRPr="00B24A0D">
                        <w:rPr>
                          <w:rFonts w:ascii="Calibri" w:hAnsi="Calibri" w:cs="Arial"/>
                          <w:sz w:val="20"/>
                          <w:szCs w:val="20"/>
                          <w:vertAlign w:val="subscript"/>
                        </w:rPr>
                        <w:t>100</w:t>
                      </w:r>
                      <w:r w:rsidR="00E43660">
                        <w:rPr>
                          <w:rFonts w:ascii="Calibri" w:hAnsi="Calibri" w:cs="Arial"/>
                          <w:sz w:val="20"/>
                          <w:szCs w:val="20"/>
                        </w:rPr>
                        <w:t> </w:t>
                      </w:r>
                      <w:r w:rsidR="00BC31AF">
                        <w:rPr>
                          <w:rFonts w:ascii="Calibri" w:hAnsi="Calibri" w:cs="Arial"/>
                          <w:sz w:val="20"/>
                          <w:szCs w:val="20"/>
                        </w:rPr>
                        <w:t>(ICRU 60)</w:t>
                      </w:r>
                      <w:r w:rsidR="00FD1556">
                        <w:rPr>
                          <w:rFonts w:ascii="Calibri" w:hAnsi="Calibri" w:cs="Arial"/>
                          <w:sz w:val="20"/>
                          <w:szCs w:val="20"/>
                        </w:rPr>
                        <w:t> </w:t>
                      </w:r>
                      <w:r w:rsidR="00E43660">
                        <w:rPr>
                          <w:rFonts w:ascii="Calibri" w:hAnsi="Calibri" w:cs="Arial"/>
                          <w:sz w:val="20"/>
                          <w:szCs w:val="20"/>
                        </w:rPr>
                        <w:t>= 50 keV·µm</w:t>
                      </w:r>
                      <w:r w:rsidR="00E43660" w:rsidRPr="00B24A0D">
                        <w:rPr>
                          <w:rFonts w:ascii="Calibri" w:hAnsi="Calibri" w:cs="Arial"/>
                          <w:sz w:val="20"/>
                          <w:szCs w:val="20"/>
                          <w:vertAlign w:val="superscript"/>
                        </w:rPr>
                        <w:t>-1</w:t>
                      </w:r>
                      <w:r w:rsidR="00E43660">
                        <w:rPr>
                          <w:rFonts w:ascii="Calibri" w:hAnsi="Calibri" w:cs="Arial"/>
                          <w:sz w:val="20"/>
                          <w:szCs w:val="20"/>
                        </w:rPr>
                        <w:t xml:space="preserve">, while </w:t>
                      </w:r>
                    </w:p>
                    <w:p w14:paraId="514480D4" w14:textId="2109AB38" w:rsidR="00E43660" w:rsidRDefault="00BC31AF" w:rsidP="00E43660">
                      <w:pPr>
                        <w:jc w:val="both"/>
                        <w:rPr>
                          <w:rFonts w:ascii="Calibri" w:hAnsi="Calibri" w:cs="Arial"/>
                          <w:sz w:val="20"/>
                          <w:szCs w:val="20"/>
                        </w:rPr>
                      </w:pPr>
                      <w:r w:rsidRPr="00BC31AF">
                        <w:rPr>
                          <w:rFonts w:ascii="Calibri" w:hAnsi="Calibri" w:cs="Arial"/>
                          <w:sz w:val="20"/>
                          <w:szCs w:val="20"/>
                        </w:rPr>
                        <w:t xml:space="preserve">In ICRU 85, only the energy exceeding Δ is subtracted from </w:t>
                      </w:r>
                      <w:r>
                        <w:rPr>
                          <w:rFonts w:ascii="Calibri" w:hAnsi="Calibri" w:cs="Arial"/>
                          <w:sz w:val="20"/>
                          <w:szCs w:val="20"/>
                        </w:rPr>
                        <w:t xml:space="preserve">the </w:t>
                      </w:r>
                      <w:r w:rsidRPr="00BC31AF">
                        <w:rPr>
                          <w:rFonts w:ascii="Calibri" w:hAnsi="Calibri" w:cs="Arial"/>
                          <w:sz w:val="20"/>
                          <w:szCs w:val="20"/>
                        </w:rPr>
                        <w:t>contribution</w:t>
                      </w:r>
                      <w:r w:rsidRPr="00BC31AF">
                        <w:rPr>
                          <w:rFonts w:ascii="Calibri" w:hAnsi="Calibri" w:cs="Arial"/>
                          <w:sz w:val="20"/>
                          <w:szCs w:val="20"/>
                        </w:rPr>
                        <w:t xml:space="preserve"> </w:t>
                      </w:r>
                      <w:r>
                        <w:rPr>
                          <w:rFonts w:ascii="Calibri" w:hAnsi="Calibri" w:cs="Arial"/>
                          <w:sz w:val="20"/>
                          <w:szCs w:val="20"/>
                        </w:rPr>
                        <w:t xml:space="preserve">of </w:t>
                      </w:r>
                      <w:r w:rsidRPr="00BC31AF">
                        <w:rPr>
                          <w:rFonts w:ascii="Calibri" w:hAnsi="Calibri" w:cs="Arial"/>
                          <w:sz w:val="20"/>
                          <w:szCs w:val="20"/>
                        </w:rPr>
                        <w:t xml:space="preserve">each </w:t>
                      </w:r>
                      <w:r w:rsidR="005D50BC" w:rsidRPr="00BC31AF">
                        <w:rPr>
                          <w:rFonts w:ascii="Calibri" w:hAnsi="Calibri" w:cs="Arial"/>
                          <w:sz w:val="20"/>
                          <w:szCs w:val="20"/>
                        </w:rPr>
                        <w:t>electron</w:t>
                      </w:r>
                      <w:r>
                        <w:rPr>
                          <w:rFonts w:ascii="Calibri" w:hAnsi="Calibri" w:cs="Arial"/>
                          <w:sz w:val="20"/>
                          <w:szCs w:val="20"/>
                        </w:rPr>
                        <w:t xml:space="preserve"> so t</w:t>
                      </w:r>
                      <w:r w:rsidRPr="00BC31AF">
                        <w:rPr>
                          <w:rFonts w:ascii="Calibri" w:hAnsi="Calibri" w:cs="Arial"/>
                          <w:sz w:val="20"/>
                          <w:szCs w:val="20"/>
                        </w:rPr>
                        <w:t xml:space="preserve">he </w:t>
                      </w:r>
                      <w:proofErr w:type="gramStart"/>
                      <w:r w:rsidRPr="00BC31AF">
                        <w:rPr>
                          <w:rFonts w:ascii="Calibri" w:hAnsi="Calibri" w:cs="Arial"/>
                          <w:sz w:val="20"/>
                          <w:szCs w:val="20"/>
                        </w:rPr>
                        <w:t>110 eV</w:t>
                      </w:r>
                      <w:proofErr w:type="gramEnd"/>
                      <w:r w:rsidRPr="00BC31AF">
                        <w:rPr>
                          <w:rFonts w:ascii="Calibri" w:hAnsi="Calibri" w:cs="Arial"/>
                          <w:sz w:val="20"/>
                          <w:szCs w:val="20"/>
                        </w:rPr>
                        <w:t xml:space="preserve"> electron contributes (110 − 10) = 10</w:t>
                      </w:r>
                      <w:r>
                        <w:rPr>
                          <w:rFonts w:ascii="Calibri" w:hAnsi="Calibri" w:cs="Arial"/>
                          <w:sz w:val="20"/>
                          <w:szCs w:val="20"/>
                        </w:rPr>
                        <w:t>0</w:t>
                      </w:r>
                      <w:r w:rsidRPr="00BC31AF">
                        <w:rPr>
                          <w:rFonts w:ascii="Calibri" w:hAnsi="Calibri" w:cs="Arial"/>
                          <w:sz w:val="20"/>
                          <w:szCs w:val="20"/>
                        </w:rPr>
                        <w:t xml:space="preserve"> eV</w:t>
                      </w:r>
                      <w:r>
                        <w:rPr>
                          <w:rFonts w:ascii="Calibri" w:hAnsi="Calibri" w:cs="Arial"/>
                          <w:sz w:val="20"/>
                          <w:szCs w:val="20"/>
                        </w:rPr>
                        <w:t xml:space="preserve"> and a</w:t>
                      </w:r>
                      <w:r w:rsidRPr="00BC31AF">
                        <w:rPr>
                          <w:rFonts w:ascii="Calibri" w:hAnsi="Calibri" w:cs="Arial"/>
                          <w:sz w:val="20"/>
                          <w:szCs w:val="20"/>
                        </w:rPr>
                        <w:t>ll other energy is included</w:t>
                      </w:r>
                      <w:r>
                        <w:rPr>
                          <w:rFonts w:ascii="Calibri" w:hAnsi="Calibri" w:cs="Arial"/>
                          <w:sz w:val="20"/>
                          <w:szCs w:val="20"/>
                        </w:rPr>
                        <w:t>:</w:t>
                      </w:r>
                    </w:p>
                    <w:p w14:paraId="1196DFF2" w14:textId="77777777" w:rsidR="00901AA3" w:rsidRDefault="00901AA3" w:rsidP="00901AA3">
                      <w:pPr>
                        <w:jc w:val="both"/>
                        <w:rPr>
                          <w:rFonts w:ascii="Calibri" w:hAnsi="Calibri" w:cs="Arial"/>
                          <w:sz w:val="20"/>
                          <w:szCs w:val="20"/>
                        </w:rPr>
                      </w:pPr>
                      <w:r>
                        <w:rPr>
                          <w:rFonts w:ascii="Calibri" w:hAnsi="Calibri" w:cs="Arial"/>
                          <w:sz w:val="20"/>
                          <w:szCs w:val="20"/>
                        </w:rPr>
                        <w:t xml:space="preserve">       </w:t>
                      </w:r>
                      <w:proofErr w:type="spellStart"/>
                      <w:r w:rsidR="00E43660" w:rsidRPr="00556574">
                        <w:rPr>
                          <w:rFonts w:ascii="Calibri" w:hAnsi="Calibri" w:cs="Arial"/>
                          <w:sz w:val="20"/>
                          <w:szCs w:val="20"/>
                        </w:rPr>
                        <w:t>d</w:t>
                      </w:r>
                      <w:r w:rsidR="00E43660" w:rsidRPr="00556574">
                        <w:rPr>
                          <w:rFonts w:ascii="Calibri" w:hAnsi="Calibri" w:cs="Arial"/>
                          <w:i/>
                          <w:iCs/>
                          <w:sz w:val="20"/>
                          <w:szCs w:val="20"/>
                        </w:rPr>
                        <w:t>E</w:t>
                      </w:r>
                      <w:proofErr w:type="spellEnd"/>
                      <w:r w:rsidR="00E43660" w:rsidRPr="00556574">
                        <w:rPr>
                          <w:rFonts w:ascii="Symbol" w:hAnsi="Symbol" w:cs="Arial"/>
                          <w:i/>
                          <w:iCs/>
                          <w:sz w:val="20"/>
                          <w:szCs w:val="20"/>
                          <w:vertAlign w:val="subscript"/>
                        </w:rPr>
                        <w:t>D</w:t>
                      </w:r>
                      <w:r w:rsidR="00E43660">
                        <w:rPr>
                          <w:rFonts w:ascii="Calibri" w:hAnsi="Calibri" w:cs="Arial"/>
                          <w:sz w:val="20"/>
                          <w:szCs w:val="20"/>
                        </w:rPr>
                        <w:t> = 20 eV + 30 eV+ (110-10) eV = 150 eV</w:t>
                      </w:r>
                    </w:p>
                    <w:p w14:paraId="4C0F3230" w14:textId="22BCE0F4" w:rsidR="00E43660" w:rsidRDefault="00901AA3" w:rsidP="00901AA3">
                      <w:pPr>
                        <w:jc w:val="both"/>
                        <w:rPr>
                          <w:rFonts w:ascii="Calibri" w:hAnsi="Calibri" w:cs="Arial"/>
                          <w:sz w:val="20"/>
                          <w:szCs w:val="20"/>
                        </w:rPr>
                      </w:pPr>
                      <w:r>
                        <w:rPr>
                          <w:rFonts w:ascii="Calibri" w:hAnsi="Calibri" w:cs="Arial"/>
                          <w:sz w:val="20"/>
                          <w:szCs w:val="20"/>
                        </w:rPr>
                        <w:t xml:space="preserve">       </w:t>
                      </w:r>
                      <w:r w:rsidR="00E43660">
                        <w:rPr>
                          <w:rFonts w:ascii="Calibri" w:hAnsi="Calibri" w:cs="Arial"/>
                          <w:sz w:val="20"/>
                          <w:szCs w:val="20"/>
                        </w:rPr>
                        <w:t>LET</w:t>
                      </w:r>
                      <w:r w:rsidR="00E43660" w:rsidRPr="00B24A0D">
                        <w:rPr>
                          <w:rFonts w:ascii="Calibri" w:hAnsi="Calibri" w:cs="Arial"/>
                          <w:sz w:val="20"/>
                          <w:szCs w:val="20"/>
                          <w:vertAlign w:val="subscript"/>
                        </w:rPr>
                        <w:t>100</w:t>
                      </w:r>
                      <w:r w:rsidR="00E43660">
                        <w:rPr>
                          <w:rFonts w:ascii="Calibri" w:hAnsi="Calibri" w:cs="Arial"/>
                          <w:sz w:val="20"/>
                          <w:szCs w:val="20"/>
                        </w:rPr>
                        <w:t> </w:t>
                      </w:r>
                      <w:r w:rsidR="00FD1556">
                        <w:rPr>
                          <w:rFonts w:ascii="Calibri" w:hAnsi="Calibri" w:cs="Arial"/>
                          <w:sz w:val="20"/>
                          <w:szCs w:val="20"/>
                        </w:rPr>
                        <w:t>(ICRU 85) </w:t>
                      </w:r>
                      <w:r w:rsidR="00E43660">
                        <w:rPr>
                          <w:rFonts w:ascii="Calibri" w:hAnsi="Calibri" w:cs="Arial"/>
                          <w:sz w:val="20"/>
                          <w:szCs w:val="20"/>
                        </w:rPr>
                        <w:t>= 150 keV·µm</w:t>
                      </w:r>
                      <w:r w:rsidR="00E43660" w:rsidRPr="00B24A0D">
                        <w:rPr>
                          <w:rFonts w:ascii="Calibri" w:hAnsi="Calibri" w:cs="Arial"/>
                          <w:sz w:val="20"/>
                          <w:szCs w:val="20"/>
                          <w:vertAlign w:val="superscript"/>
                        </w:rPr>
                        <w:t>-1</w:t>
                      </w:r>
                    </w:p>
                  </w:txbxContent>
                </v:textbox>
                <w10:anchorlock/>
              </v:shape>
            </w:pict>
          </mc:Fallback>
        </mc:AlternateContent>
      </w:r>
    </w:p>
    <w:p w14:paraId="2C2F9945" w14:textId="77777777" w:rsidR="00A710A6" w:rsidRPr="00A710A6" w:rsidRDefault="00A710A6" w:rsidP="00A710A6">
      <w:pPr>
        <w:jc w:val="both"/>
        <w:rPr>
          <w:rFonts w:ascii="Calibri" w:hAnsi="Calibri" w:cs="Arial"/>
          <w:sz w:val="20"/>
          <w:szCs w:val="20"/>
        </w:rPr>
      </w:pPr>
      <w:r w:rsidRPr="00A710A6">
        <w:rPr>
          <w:rFonts w:ascii="Calibri" w:hAnsi="Calibri" w:cs="Arial"/>
          <w:sz w:val="20"/>
          <w:szCs w:val="20"/>
        </w:rPr>
        <w:t>Since 100 eV electrons in water typically travel only a few nanometers, LET₁₀₀ effectively characterizes the energy deposited in close proximity to the primary particle track. This makes it particularly useful in contexts such as microdosimetry and radiobiological modeling, where the spatial distribution of energy deposition is critical.</w:t>
      </w:r>
    </w:p>
    <w:p w14:paraId="040459E4" w14:textId="77777777" w:rsidR="00A710A6" w:rsidRDefault="00A710A6" w:rsidP="00A710A6">
      <w:pPr>
        <w:jc w:val="both"/>
        <w:rPr>
          <w:rFonts w:ascii="Calibri" w:hAnsi="Calibri" w:cs="Arial"/>
          <w:sz w:val="20"/>
          <w:szCs w:val="20"/>
        </w:rPr>
      </w:pPr>
      <w:r w:rsidRPr="00A710A6">
        <w:rPr>
          <w:rFonts w:ascii="Calibri" w:hAnsi="Calibri" w:cs="Arial"/>
          <w:sz w:val="20"/>
          <w:szCs w:val="20"/>
        </w:rPr>
        <w:t>While it is widely accepted that unrestricted LET is equivalent to the unrestricted collision stopping power, some authors have noted minor discrepancies. These differences arise from the occasional nuclear elastic collisions involving delta rays, which are not accounted for identically in all formulations. Although such events are rare and contribute minimally to the overall energy loss, they can introduce subtle distinctions in precise theoretical treatments or simulation frameworks.</w:t>
      </w:r>
    </w:p>
    <w:p w14:paraId="07CA4C27" w14:textId="089CD782" w:rsidR="009B01EE" w:rsidRPr="00B5072A" w:rsidRDefault="009B01EE" w:rsidP="00A710A6">
      <w:pPr>
        <w:jc w:val="both"/>
        <w:rPr>
          <w:rFonts w:ascii="Calibri" w:hAnsi="Calibri" w:cs="Arial"/>
          <w:sz w:val="20"/>
          <w:szCs w:val="20"/>
        </w:rPr>
      </w:pPr>
      <w:r w:rsidRPr="00B5072A">
        <w:rPr>
          <w:rFonts w:ascii="Calibri" w:hAnsi="Calibri" w:cs="Arial"/>
          <w:i/>
          <w:iCs/>
          <w:sz w:val="20"/>
          <w:szCs w:val="20"/>
        </w:rPr>
        <w:t>Track and Dose Density Distributions of LET</w:t>
      </w:r>
      <w:r w:rsidRPr="00B5072A">
        <w:rPr>
          <w:rFonts w:ascii="Calibri" w:hAnsi="Calibri" w:cs="Arial"/>
          <w:sz w:val="20"/>
          <w:szCs w:val="20"/>
        </w:rPr>
        <w:t xml:space="preserve">: While LET for a specific particle type and energy is a single value, a typical radiation field consists of </w:t>
      </w:r>
      <w:r w:rsidR="004D59CB" w:rsidRPr="00B5072A">
        <w:rPr>
          <w:rFonts w:ascii="Calibri" w:hAnsi="Calibri" w:cs="Arial"/>
          <w:sz w:val="20"/>
          <w:szCs w:val="20"/>
        </w:rPr>
        <w:t xml:space="preserve">thousands of </w:t>
      </w:r>
      <w:r w:rsidRPr="00B5072A">
        <w:rPr>
          <w:rFonts w:ascii="Calibri" w:hAnsi="Calibri" w:cs="Arial"/>
          <w:sz w:val="20"/>
          <w:szCs w:val="20"/>
        </w:rPr>
        <w:t xml:space="preserve">particles with diverse types and energies. </w:t>
      </w:r>
      <w:r w:rsidR="004D59CB" w:rsidRPr="00B5072A">
        <w:rPr>
          <w:rFonts w:ascii="Calibri" w:hAnsi="Calibri" w:cs="Arial"/>
          <w:sz w:val="20"/>
          <w:szCs w:val="20"/>
        </w:rPr>
        <w:t xml:space="preserve">This </w:t>
      </w:r>
      <w:r w:rsidRPr="00B5072A">
        <w:rPr>
          <w:rFonts w:ascii="Calibri" w:hAnsi="Calibri" w:cs="Arial"/>
          <w:sz w:val="20"/>
          <w:szCs w:val="20"/>
        </w:rPr>
        <w:t>heterogeneity</w:t>
      </w:r>
      <w:r w:rsidR="004D59CB" w:rsidRPr="00B5072A">
        <w:rPr>
          <w:rFonts w:ascii="Calibri" w:hAnsi="Calibri" w:cs="Arial"/>
          <w:sz w:val="20"/>
          <w:szCs w:val="20"/>
        </w:rPr>
        <w:t xml:space="preserve"> </w:t>
      </w:r>
      <w:r w:rsidR="00F334A9" w:rsidRPr="00B5072A">
        <w:rPr>
          <w:rFonts w:ascii="Calibri" w:hAnsi="Calibri" w:cs="Arial"/>
          <w:sz w:val="20"/>
          <w:szCs w:val="20"/>
        </w:rPr>
        <w:t xml:space="preserve">generates </w:t>
      </w:r>
      <w:r w:rsidR="004D59CB" w:rsidRPr="00B5072A">
        <w:rPr>
          <w:rFonts w:ascii="Calibri" w:hAnsi="Calibri" w:cs="Arial"/>
          <w:sz w:val="20"/>
          <w:szCs w:val="20"/>
        </w:rPr>
        <w:t xml:space="preserve">a quasi-continuous variation of LET which is naturally described by </w:t>
      </w:r>
      <w:r w:rsidRPr="00B5072A">
        <w:rPr>
          <w:rFonts w:ascii="Calibri" w:hAnsi="Calibri" w:cs="Arial"/>
          <w:sz w:val="20"/>
          <w:szCs w:val="20"/>
        </w:rPr>
        <w:t>density distributions</w:t>
      </w:r>
      <w:r w:rsidR="004D59CB" w:rsidRPr="00B5072A">
        <w:rPr>
          <w:rFonts w:ascii="Calibri" w:hAnsi="Calibri" w:cs="Arial"/>
          <w:sz w:val="20"/>
          <w:szCs w:val="20"/>
        </w:rPr>
        <w:t xml:space="preserve"> in frequency </w:t>
      </w:r>
      <w:r w:rsidRPr="00B5072A">
        <w:rPr>
          <w:rFonts w:ascii="Calibri" w:hAnsi="Calibri" w:cs="Arial"/>
          <w:sz w:val="20"/>
          <w:szCs w:val="20"/>
        </w:rPr>
        <w:t xml:space="preserve">f(L), </w:t>
      </w:r>
      <w:r w:rsidR="004D59CB" w:rsidRPr="00B5072A">
        <w:rPr>
          <w:rFonts w:ascii="Calibri" w:hAnsi="Calibri" w:cs="Arial"/>
          <w:sz w:val="20"/>
          <w:szCs w:val="20"/>
        </w:rPr>
        <w:t>and in dose d(</w:t>
      </w:r>
      <w:r w:rsidRPr="00B5072A">
        <w:rPr>
          <w:rFonts w:ascii="Calibri" w:hAnsi="Calibri" w:cs="Arial"/>
          <w:sz w:val="20"/>
          <w:szCs w:val="20"/>
        </w:rPr>
        <w:t>L</w:t>
      </w:r>
      <w:r w:rsidR="004D59CB" w:rsidRPr="00B5072A">
        <w:rPr>
          <w:rFonts w:ascii="Calibri" w:hAnsi="Calibri" w:cs="Arial"/>
          <w:sz w:val="20"/>
          <w:szCs w:val="20"/>
        </w:rPr>
        <w:t>)</w:t>
      </w:r>
      <w:r w:rsidRPr="00B5072A">
        <w:rPr>
          <w:rFonts w:ascii="Calibri" w:hAnsi="Calibri" w:cs="Arial"/>
          <w:sz w:val="20"/>
          <w:szCs w:val="20"/>
        </w:rPr>
        <w:t>.</w:t>
      </w:r>
    </w:p>
    <w:p w14:paraId="0AF044F4" w14:textId="0A66C736" w:rsidR="00CB166F" w:rsidRPr="00405681" w:rsidRDefault="00CB166F" w:rsidP="00CB166F">
      <w:pPr>
        <w:jc w:val="both"/>
        <w:rPr>
          <w:rFonts w:ascii="Calibri" w:hAnsi="Calibri" w:cs="Arial"/>
          <w:sz w:val="20"/>
          <w:szCs w:val="20"/>
        </w:rPr>
      </w:pPr>
      <w:r w:rsidRPr="00405681">
        <w:rPr>
          <w:rFonts w:ascii="Calibri" w:hAnsi="Calibri" w:cs="Arial"/>
          <w:sz w:val="20"/>
          <w:szCs w:val="20"/>
        </w:rPr>
        <w:t>The distributions are normalized so that</w:t>
      </w:r>
      <w:r w:rsidR="00165D85">
        <w:rPr>
          <w:rFonts w:ascii="Calibri" w:hAnsi="Calibri" w:cs="Arial"/>
          <w:sz w:val="20"/>
          <w:szCs w:val="20"/>
        </w:rPr>
        <w:t>:</w:t>
      </w:r>
    </w:p>
    <w:p w14:paraId="3E920B00" w14:textId="77777777" w:rsidR="00CB166F" w:rsidRPr="00405681" w:rsidRDefault="001F30D9" w:rsidP="00CB166F">
      <w:pPr>
        <w:jc w:val="both"/>
        <w:rPr>
          <w:rFonts w:ascii="Calibri" w:eastAsiaTheme="minorEastAsia" w:hAnsi="Calibri" w:cs="Arial"/>
          <w:sz w:val="20"/>
          <w:szCs w:val="20"/>
        </w:rPr>
      </w:pPr>
      <m:oMathPara>
        <m:oMath>
          <m:nary>
            <m:naryPr>
              <m:limLoc m:val="subSup"/>
              <m:ctrlPr>
                <w:rPr>
                  <w:rFonts w:ascii="Cambria Math" w:hAnsi="Cambria Math" w:cs="Arial"/>
                  <w:i/>
                  <w:sz w:val="20"/>
                  <w:szCs w:val="20"/>
                </w:rPr>
              </m:ctrlPr>
            </m:naryPr>
            <m:sub>
              <m:r>
                <w:rPr>
                  <w:rFonts w:ascii="Cambria Math" w:hAnsi="Cambria Math" w:cs="Arial"/>
                  <w:sz w:val="20"/>
                  <w:szCs w:val="20"/>
                </w:rPr>
                <m:t>0</m:t>
              </m:r>
            </m:sub>
            <m:sup>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max</m:t>
                  </m:r>
                </m:sub>
              </m:sSub>
            </m:sup>
            <m:e>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L</m:t>
                  </m:r>
                </m:e>
              </m:d>
              <m:box>
                <m:boxPr>
                  <m:diff m:val="1"/>
                  <m:ctrlPr>
                    <w:rPr>
                      <w:rFonts w:ascii="Cambria Math" w:hAnsi="Cambria Math" w:cs="Arial"/>
                      <w:i/>
                      <w:sz w:val="20"/>
                      <w:szCs w:val="20"/>
                    </w:rPr>
                  </m:ctrlPr>
                </m:boxPr>
                <m:e>
                  <m:r>
                    <w:rPr>
                      <w:rFonts w:ascii="Cambria Math" w:hAnsi="Cambria Math" w:cs="Arial"/>
                      <w:sz w:val="20"/>
                      <w:szCs w:val="20"/>
                    </w:rPr>
                    <m:t>dL</m:t>
                  </m:r>
                </m:e>
              </m:box>
            </m:e>
          </m:nary>
          <m:r>
            <w:rPr>
              <w:rFonts w:ascii="Cambria Math" w:hAnsi="Cambria Math" w:cs="Arial"/>
              <w:sz w:val="20"/>
              <w:szCs w:val="20"/>
            </w:rPr>
            <m:t>=1</m:t>
          </m:r>
        </m:oMath>
      </m:oMathPara>
    </w:p>
    <w:p w14:paraId="03BCC7FC" w14:textId="77777777" w:rsidR="00CB166F" w:rsidRPr="00147224" w:rsidRDefault="001F30D9" w:rsidP="00CB166F">
      <w:pPr>
        <w:jc w:val="both"/>
        <w:rPr>
          <w:rFonts w:cstheme="minorHAnsi"/>
          <w:sz w:val="20"/>
          <w:szCs w:val="20"/>
        </w:rPr>
      </w:pPr>
      <m:oMathPara>
        <m:oMath>
          <m:nary>
            <m:naryPr>
              <m:limLoc m:val="subSup"/>
              <m:ctrlPr>
                <w:rPr>
                  <w:rFonts w:ascii="Cambria Math" w:hAnsi="Cambria Math" w:cstheme="minorHAnsi"/>
                  <w:i/>
                  <w:sz w:val="20"/>
                  <w:szCs w:val="20"/>
                </w:rPr>
              </m:ctrlPr>
            </m:naryPr>
            <m:sub>
              <m:r>
                <w:rPr>
                  <w:rFonts w:ascii="Cambria Math" w:hAnsi="Cambria Math" w:cstheme="minorHAnsi"/>
                  <w:sz w:val="20"/>
                  <w:szCs w:val="20"/>
                </w:rPr>
                <m:t>0</m:t>
              </m:r>
            </m:sub>
            <m:sup>
              <m:sSub>
                <m:sSubPr>
                  <m:ctrlPr>
                    <w:rPr>
                      <w:rFonts w:ascii="Cambria Math" w:hAnsi="Cambria Math" w:cstheme="minorHAnsi"/>
                      <w:i/>
                      <w:sz w:val="20"/>
                      <w:szCs w:val="20"/>
                    </w:rPr>
                  </m:ctrlPr>
                </m:sSubPr>
                <m:e>
                  <m:r>
                    <w:rPr>
                      <w:rFonts w:ascii="Cambria Math" w:hAnsi="Cambria Math" w:cstheme="minorHAnsi"/>
                      <w:sz w:val="20"/>
                      <w:szCs w:val="20"/>
                    </w:rPr>
                    <m:t>L</m:t>
                  </m:r>
                </m:e>
                <m:sub>
                  <m:r>
                    <w:rPr>
                      <w:rFonts w:ascii="Cambria Math" w:hAnsi="Cambria Math" w:cstheme="minorHAnsi"/>
                      <w:sz w:val="20"/>
                      <w:szCs w:val="20"/>
                    </w:rPr>
                    <m:t>max</m:t>
                  </m:r>
                </m:sub>
              </m:sSub>
            </m:sup>
            <m:e>
              <m:r>
                <w:rPr>
                  <w:rFonts w:ascii="Cambria Math" w:hAnsi="Cambria Math" w:cstheme="minorHAnsi"/>
                  <w:sz w:val="20"/>
                  <w:szCs w:val="20"/>
                </w:rPr>
                <m:t>d</m:t>
              </m:r>
              <m:d>
                <m:dPr>
                  <m:ctrlPr>
                    <w:rPr>
                      <w:rFonts w:ascii="Cambria Math" w:hAnsi="Cambria Math" w:cstheme="minorHAnsi"/>
                      <w:i/>
                      <w:sz w:val="20"/>
                      <w:szCs w:val="20"/>
                    </w:rPr>
                  </m:ctrlPr>
                </m:dPr>
                <m:e>
                  <m:r>
                    <w:rPr>
                      <w:rFonts w:ascii="Cambria Math" w:hAnsi="Cambria Math" w:cstheme="minorHAnsi"/>
                      <w:sz w:val="20"/>
                      <w:szCs w:val="20"/>
                    </w:rPr>
                    <m:t>L</m:t>
                  </m:r>
                </m:e>
              </m:d>
              <m:box>
                <m:boxPr>
                  <m:diff m:val="1"/>
                  <m:ctrlPr>
                    <w:rPr>
                      <w:rFonts w:ascii="Cambria Math" w:hAnsi="Cambria Math" w:cstheme="minorHAnsi"/>
                      <w:i/>
                      <w:sz w:val="20"/>
                      <w:szCs w:val="20"/>
                    </w:rPr>
                  </m:ctrlPr>
                </m:boxPr>
                <m:e>
                  <m:r>
                    <w:rPr>
                      <w:rFonts w:ascii="Cambria Math" w:hAnsi="Cambria Math" w:cstheme="minorHAnsi"/>
                      <w:sz w:val="20"/>
                      <w:szCs w:val="20"/>
                    </w:rPr>
                    <m:t>dL</m:t>
                  </m:r>
                </m:e>
              </m:box>
            </m:e>
          </m:nary>
          <m:r>
            <w:rPr>
              <w:rFonts w:ascii="Cambria Math" w:hAnsi="Cambria Math" w:cstheme="minorHAnsi"/>
              <w:sz w:val="20"/>
              <w:szCs w:val="20"/>
            </w:rPr>
            <m:t>=1</m:t>
          </m:r>
        </m:oMath>
      </m:oMathPara>
    </w:p>
    <w:p w14:paraId="70B2D1B7" w14:textId="1536BF92" w:rsidR="00147224" w:rsidRPr="00405681" w:rsidRDefault="00147224" w:rsidP="00C856F0">
      <w:pPr>
        <w:jc w:val="both"/>
        <w:rPr>
          <w:rFonts w:ascii="Calibri" w:hAnsi="Calibri" w:cs="Arial"/>
          <w:sz w:val="20"/>
          <w:szCs w:val="20"/>
        </w:rPr>
      </w:pPr>
      <w:r w:rsidRPr="00405681">
        <w:rPr>
          <w:rFonts w:ascii="Calibri" w:hAnsi="Calibri" w:cs="Arial"/>
          <w:sz w:val="20"/>
          <w:szCs w:val="20"/>
        </w:rPr>
        <w:t xml:space="preserve">The element </w:t>
      </w:r>
      <w:r w:rsidRPr="00405681">
        <w:rPr>
          <w:rFonts w:ascii="Calibri" w:hAnsi="Calibri" w:cs="Arial"/>
          <w:i/>
          <w:iCs/>
          <w:sz w:val="20"/>
          <w:szCs w:val="20"/>
        </w:rPr>
        <w:t>f</w:t>
      </w:r>
      <w:r w:rsidRPr="00405681">
        <w:rPr>
          <w:rFonts w:ascii="Calibri" w:hAnsi="Calibri" w:cs="Arial"/>
          <w:sz w:val="20"/>
          <w:szCs w:val="20"/>
        </w:rPr>
        <w:t>(</w:t>
      </w:r>
      <w:r w:rsidRPr="00405681">
        <w:rPr>
          <w:rFonts w:ascii="Calibri" w:hAnsi="Calibri" w:cs="Arial"/>
          <w:i/>
          <w:iCs/>
          <w:sz w:val="20"/>
          <w:szCs w:val="20"/>
        </w:rPr>
        <w:t>L</w:t>
      </w:r>
      <w:r w:rsidRPr="00405681">
        <w:rPr>
          <w:rFonts w:ascii="Calibri" w:hAnsi="Calibri" w:cs="Arial"/>
          <w:sz w:val="20"/>
          <w:szCs w:val="20"/>
        </w:rPr>
        <w:t>) · </w:t>
      </w:r>
      <w:r w:rsidRPr="00405681">
        <w:rPr>
          <w:rFonts w:ascii="Calibri" w:hAnsi="Calibri" w:cs="Arial"/>
          <w:i/>
          <w:iCs/>
          <w:sz w:val="20"/>
          <w:szCs w:val="20"/>
        </w:rPr>
        <w:t>dL</w:t>
      </w:r>
      <w:r w:rsidRPr="00405681">
        <w:rPr>
          <w:rFonts w:ascii="Calibri" w:hAnsi="Calibri" w:cs="Arial"/>
          <w:sz w:val="20"/>
          <w:szCs w:val="20"/>
        </w:rPr>
        <w:t xml:space="preserve"> represents the </w:t>
      </w:r>
      <w:r w:rsidR="00F95EED">
        <w:rPr>
          <w:rFonts w:ascii="Calibri" w:hAnsi="Calibri" w:cs="Arial"/>
          <w:sz w:val="20"/>
          <w:szCs w:val="20"/>
        </w:rPr>
        <w:t xml:space="preserve">fraction of </w:t>
      </w:r>
      <w:r w:rsidR="00CB166F">
        <w:rPr>
          <w:rFonts w:ascii="Calibri" w:hAnsi="Calibri" w:cs="Arial"/>
          <w:sz w:val="20"/>
          <w:szCs w:val="20"/>
        </w:rPr>
        <w:t>particle</w:t>
      </w:r>
      <w:r w:rsidR="00F95EED">
        <w:rPr>
          <w:rFonts w:ascii="Calibri" w:hAnsi="Calibri" w:cs="Arial"/>
          <w:sz w:val="20"/>
          <w:szCs w:val="20"/>
        </w:rPr>
        <w:t>s</w:t>
      </w:r>
      <w:r w:rsidR="00CB166F">
        <w:rPr>
          <w:rFonts w:ascii="Calibri" w:hAnsi="Calibri" w:cs="Arial"/>
          <w:sz w:val="20"/>
          <w:szCs w:val="20"/>
        </w:rPr>
        <w:t xml:space="preserve"> of the </w:t>
      </w:r>
      <w:r w:rsidR="00CB166F" w:rsidRPr="00405681">
        <w:rPr>
          <w:rFonts w:ascii="Calibri" w:hAnsi="Calibri" w:cs="Arial"/>
          <w:sz w:val="20"/>
          <w:szCs w:val="20"/>
        </w:rPr>
        <w:t xml:space="preserve">heterogenous </w:t>
      </w:r>
      <w:r w:rsidR="00CB166F">
        <w:rPr>
          <w:rFonts w:ascii="Calibri" w:hAnsi="Calibri" w:cs="Arial"/>
          <w:sz w:val="20"/>
          <w:szCs w:val="20"/>
        </w:rPr>
        <w:t xml:space="preserve">field </w:t>
      </w:r>
      <w:r w:rsidR="00F95EED">
        <w:rPr>
          <w:rFonts w:ascii="Calibri" w:hAnsi="Calibri" w:cs="Arial"/>
          <w:sz w:val="20"/>
          <w:szCs w:val="20"/>
        </w:rPr>
        <w:t xml:space="preserve">whose LET </w:t>
      </w:r>
      <w:r w:rsidRPr="00405681">
        <w:rPr>
          <w:rFonts w:ascii="Calibri" w:hAnsi="Calibri" w:cs="Arial"/>
          <w:sz w:val="20"/>
          <w:szCs w:val="20"/>
        </w:rPr>
        <w:t>f</w:t>
      </w:r>
      <w:r w:rsidR="00CB166F">
        <w:rPr>
          <w:rFonts w:ascii="Calibri" w:hAnsi="Calibri" w:cs="Arial"/>
          <w:sz w:val="20"/>
          <w:szCs w:val="20"/>
        </w:rPr>
        <w:t>a</w:t>
      </w:r>
      <w:r w:rsidRPr="00405681">
        <w:rPr>
          <w:rFonts w:ascii="Calibri" w:hAnsi="Calibri" w:cs="Arial"/>
          <w:sz w:val="20"/>
          <w:szCs w:val="20"/>
        </w:rPr>
        <w:t>lls in the infinitesimal interval (</w:t>
      </w:r>
      <w:r w:rsidR="00CB166F">
        <w:rPr>
          <w:rFonts w:ascii="Calibri" w:hAnsi="Calibri" w:cs="Arial"/>
          <w:i/>
          <w:iCs/>
          <w:sz w:val="20"/>
          <w:szCs w:val="20"/>
        </w:rPr>
        <w:t>L</w:t>
      </w:r>
      <w:r w:rsidRPr="00405681">
        <w:rPr>
          <w:rFonts w:ascii="Calibri" w:hAnsi="Calibri" w:cs="Arial"/>
          <w:sz w:val="20"/>
          <w:szCs w:val="20"/>
        </w:rPr>
        <w:t xml:space="preserve">, </w:t>
      </w:r>
      <w:r w:rsidR="00CB166F">
        <w:rPr>
          <w:rFonts w:ascii="Calibri" w:hAnsi="Calibri" w:cs="Arial"/>
          <w:i/>
          <w:iCs/>
          <w:sz w:val="20"/>
          <w:szCs w:val="20"/>
        </w:rPr>
        <w:t>L</w:t>
      </w:r>
      <w:r w:rsidRPr="00405681">
        <w:rPr>
          <w:rFonts w:ascii="Calibri" w:hAnsi="Calibri" w:cs="Arial"/>
          <w:sz w:val="20"/>
          <w:szCs w:val="20"/>
        </w:rPr>
        <w:t>+ d</w:t>
      </w:r>
      <w:r w:rsidRPr="00405681">
        <w:rPr>
          <w:rFonts w:ascii="Calibri" w:hAnsi="Calibri" w:cs="Arial"/>
          <w:i/>
          <w:iCs/>
          <w:sz w:val="20"/>
          <w:szCs w:val="20"/>
        </w:rPr>
        <w:t>L</w:t>
      </w:r>
      <w:r w:rsidRPr="00405681">
        <w:rPr>
          <w:rFonts w:ascii="Calibri" w:hAnsi="Calibri" w:cs="Arial"/>
          <w:sz w:val="20"/>
          <w:szCs w:val="20"/>
        </w:rPr>
        <w:t xml:space="preserve">). </w:t>
      </w:r>
      <w:r w:rsidR="00C856F0" w:rsidRPr="00405681">
        <w:rPr>
          <w:rFonts w:ascii="Calibri" w:hAnsi="Calibri" w:cs="Arial"/>
          <w:sz w:val="20"/>
          <w:szCs w:val="20"/>
        </w:rPr>
        <w:t>Analogous</w:t>
      </w:r>
      <w:r w:rsidR="00F334A9">
        <w:rPr>
          <w:rFonts w:ascii="Calibri" w:hAnsi="Calibri" w:cs="Arial"/>
          <w:sz w:val="20"/>
          <w:szCs w:val="20"/>
        </w:rPr>
        <w:t xml:space="preserve">ly, </w:t>
      </w:r>
      <w:r w:rsidR="00C856F0" w:rsidRPr="00405681">
        <w:rPr>
          <w:rFonts w:ascii="Calibri" w:hAnsi="Calibri" w:cs="Arial"/>
          <w:sz w:val="20"/>
          <w:szCs w:val="20"/>
        </w:rPr>
        <w:t>the element d(</w:t>
      </w:r>
      <w:r w:rsidR="00C856F0" w:rsidRPr="00405681">
        <w:rPr>
          <w:rFonts w:ascii="Calibri" w:hAnsi="Calibri" w:cs="Arial"/>
          <w:i/>
          <w:iCs/>
          <w:sz w:val="20"/>
          <w:szCs w:val="20"/>
        </w:rPr>
        <w:t>L</w:t>
      </w:r>
      <w:r w:rsidR="00C856F0" w:rsidRPr="00405681">
        <w:rPr>
          <w:rFonts w:ascii="Calibri" w:hAnsi="Calibri" w:cs="Arial"/>
          <w:sz w:val="20"/>
          <w:szCs w:val="20"/>
        </w:rPr>
        <w:t>) · </w:t>
      </w:r>
      <w:r w:rsidR="00C856F0" w:rsidRPr="00405681">
        <w:rPr>
          <w:rFonts w:ascii="Calibri" w:hAnsi="Calibri" w:cs="Arial"/>
          <w:i/>
          <w:iCs/>
          <w:sz w:val="20"/>
          <w:szCs w:val="20"/>
        </w:rPr>
        <w:t>dL</w:t>
      </w:r>
      <w:r w:rsidR="00F334A9">
        <w:rPr>
          <w:rFonts w:ascii="Calibri" w:hAnsi="Calibri" w:cs="Arial"/>
          <w:sz w:val="20"/>
          <w:szCs w:val="20"/>
        </w:rPr>
        <w:t xml:space="preserve"> represents the fraction of </w:t>
      </w:r>
      <w:r w:rsidR="00CB166F">
        <w:rPr>
          <w:rFonts w:ascii="Calibri" w:hAnsi="Calibri" w:cs="Arial"/>
          <w:sz w:val="20"/>
          <w:szCs w:val="20"/>
        </w:rPr>
        <w:t xml:space="preserve">dose delivered by the radiation field in the </w:t>
      </w:r>
      <w:r w:rsidR="00F95EED">
        <w:rPr>
          <w:rFonts w:ascii="Calibri" w:hAnsi="Calibri" w:cs="Arial"/>
          <w:sz w:val="20"/>
          <w:szCs w:val="20"/>
        </w:rPr>
        <w:t xml:space="preserve">LET </w:t>
      </w:r>
      <w:r w:rsidR="00CB166F">
        <w:rPr>
          <w:rFonts w:ascii="Calibri" w:hAnsi="Calibri" w:cs="Arial"/>
          <w:sz w:val="20"/>
          <w:szCs w:val="20"/>
        </w:rPr>
        <w:t xml:space="preserve">interval </w:t>
      </w:r>
      <w:r w:rsidR="00CB166F" w:rsidRPr="00405681">
        <w:rPr>
          <w:rFonts w:ascii="Calibri" w:hAnsi="Calibri" w:cs="Arial"/>
          <w:sz w:val="20"/>
          <w:szCs w:val="20"/>
        </w:rPr>
        <w:t>(</w:t>
      </w:r>
      <w:r w:rsidR="00CB166F">
        <w:rPr>
          <w:rFonts w:ascii="Calibri" w:hAnsi="Calibri" w:cs="Arial"/>
          <w:i/>
          <w:iCs/>
          <w:sz w:val="20"/>
          <w:szCs w:val="20"/>
        </w:rPr>
        <w:t>L</w:t>
      </w:r>
      <w:r w:rsidR="00CB166F" w:rsidRPr="00405681">
        <w:rPr>
          <w:rFonts w:ascii="Calibri" w:hAnsi="Calibri" w:cs="Arial"/>
          <w:sz w:val="20"/>
          <w:szCs w:val="20"/>
        </w:rPr>
        <w:t xml:space="preserve">, </w:t>
      </w:r>
      <w:r w:rsidR="00CB166F">
        <w:rPr>
          <w:rFonts w:ascii="Calibri" w:hAnsi="Calibri" w:cs="Arial"/>
          <w:i/>
          <w:iCs/>
          <w:sz w:val="20"/>
          <w:szCs w:val="20"/>
        </w:rPr>
        <w:t>L</w:t>
      </w:r>
      <w:r w:rsidR="00CB166F" w:rsidRPr="00405681">
        <w:rPr>
          <w:rFonts w:ascii="Calibri" w:hAnsi="Calibri" w:cs="Arial"/>
          <w:sz w:val="20"/>
          <w:szCs w:val="20"/>
        </w:rPr>
        <w:t>+ d</w:t>
      </w:r>
      <w:r w:rsidR="00CB166F" w:rsidRPr="00405681">
        <w:rPr>
          <w:rFonts w:ascii="Calibri" w:hAnsi="Calibri" w:cs="Arial"/>
          <w:i/>
          <w:iCs/>
          <w:sz w:val="20"/>
          <w:szCs w:val="20"/>
        </w:rPr>
        <w:t>L</w:t>
      </w:r>
      <w:r w:rsidR="00CB166F" w:rsidRPr="00405681">
        <w:rPr>
          <w:rFonts w:ascii="Calibri" w:hAnsi="Calibri" w:cs="Arial"/>
          <w:sz w:val="20"/>
          <w:szCs w:val="20"/>
        </w:rPr>
        <w:t>).</w:t>
      </w:r>
    </w:p>
    <w:p w14:paraId="172457E3" w14:textId="654984DA" w:rsidR="00147224" w:rsidRPr="00405681" w:rsidRDefault="00147224" w:rsidP="00C856F0">
      <w:pPr>
        <w:jc w:val="both"/>
        <w:rPr>
          <w:rFonts w:ascii="Calibri" w:hAnsi="Calibri" w:cs="Arial"/>
          <w:sz w:val="20"/>
          <w:szCs w:val="20"/>
        </w:rPr>
      </w:pPr>
      <w:r w:rsidRPr="00405681">
        <w:rPr>
          <w:rFonts w:ascii="Calibri" w:hAnsi="Calibri" w:cs="Arial"/>
          <w:i/>
          <w:iCs/>
          <w:sz w:val="20"/>
          <w:szCs w:val="20"/>
          <w:shd w:val="clear" w:color="auto" w:fill="FFFFFF"/>
        </w:rPr>
        <w:t>Track-averaged LET (</w:t>
      </w:r>
      <w:proofErr w:type="spellStart"/>
      <w:r w:rsidRPr="00405681">
        <w:rPr>
          <w:rFonts w:ascii="Calibri" w:hAnsi="Calibri" w:cs="Arial"/>
          <w:i/>
          <w:iCs/>
          <w:sz w:val="20"/>
          <w:szCs w:val="20"/>
          <w:shd w:val="clear" w:color="auto" w:fill="FFFFFF"/>
        </w:rPr>
        <w:t>LETt</w:t>
      </w:r>
      <w:proofErr w:type="spellEnd"/>
      <w:r w:rsidR="00CB166F">
        <w:rPr>
          <w:rFonts w:ascii="Calibri" w:hAnsi="Calibri" w:cs="Arial"/>
          <w:i/>
          <w:iCs/>
          <w:sz w:val="20"/>
          <w:szCs w:val="20"/>
          <w:shd w:val="clear" w:color="auto" w:fill="FFFFFF"/>
        </w:rPr>
        <w:t xml:space="preserve"> or </w:t>
      </w:r>
      <w:r w:rsidR="00CB166F" w:rsidRPr="00405681">
        <w:rPr>
          <w:rFonts w:ascii="Calibri" w:hAnsi="Calibri" w:cs="Arial"/>
          <w:i/>
          <w:iCs/>
          <w:sz w:val="20"/>
          <w:szCs w:val="20"/>
        </w:rPr>
        <w:t>L̄</w:t>
      </w:r>
      <w:r w:rsidR="00CB166F" w:rsidRPr="00405681">
        <w:rPr>
          <w:rFonts w:ascii="Calibri" w:hAnsi="Calibri" w:cs="Arial"/>
          <w:sz w:val="20"/>
          <w:szCs w:val="20"/>
          <w:vertAlign w:val="subscript"/>
        </w:rPr>
        <w:t>T</w:t>
      </w:r>
      <w:r w:rsidRPr="00405681">
        <w:rPr>
          <w:rFonts w:ascii="Calibri" w:hAnsi="Calibri" w:cs="Arial"/>
          <w:i/>
          <w:iCs/>
          <w:sz w:val="20"/>
          <w:szCs w:val="20"/>
          <w:shd w:val="clear" w:color="auto" w:fill="FFFFFF"/>
        </w:rPr>
        <w:t>) and dose-averaged LET (</w:t>
      </w:r>
      <w:proofErr w:type="spellStart"/>
      <w:r w:rsidRPr="00405681">
        <w:rPr>
          <w:rFonts w:ascii="Calibri" w:hAnsi="Calibri" w:cs="Arial"/>
          <w:i/>
          <w:iCs/>
          <w:sz w:val="20"/>
          <w:szCs w:val="20"/>
          <w:shd w:val="clear" w:color="auto" w:fill="FFFFFF"/>
        </w:rPr>
        <w:t>LETd</w:t>
      </w:r>
      <w:proofErr w:type="spellEnd"/>
      <w:r w:rsidR="00CB166F" w:rsidRPr="00CB166F">
        <w:rPr>
          <w:rFonts w:ascii="Calibri" w:hAnsi="Calibri" w:cs="Arial"/>
          <w:i/>
          <w:iCs/>
          <w:sz w:val="20"/>
          <w:szCs w:val="20"/>
          <w:shd w:val="clear" w:color="auto" w:fill="FFFFFF"/>
        </w:rPr>
        <w:t xml:space="preserve"> </w:t>
      </w:r>
      <w:r w:rsidR="00CB166F">
        <w:rPr>
          <w:rFonts w:ascii="Calibri" w:hAnsi="Calibri" w:cs="Arial"/>
          <w:i/>
          <w:iCs/>
          <w:sz w:val="20"/>
          <w:szCs w:val="20"/>
          <w:shd w:val="clear" w:color="auto" w:fill="FFFFFF"/>
        </w:rPr>
        <w:t xml:space="preserve">or </w:t>
      </w:r>
      <w:r w:rsidR="00CB166F" w:rsidRPr="00405681">
        <w:rPr>
          <w:rFonts w:ascii="Calibri" w:hAnsi="Calibri" w:cs="Arial"/>
          <w:i/>
          <w:iCs/>
          <w:sz w:val="20"/>
          <w:szCs w:val="20"/>
        </w:rPr>
        <w:t>L̄</w:t>
      </w:r>
      <w:r w:rsidR="00CB166F">
        <w:rPr>
          <w:rFonts w:ascii="Calibri" w:hAnsi="Calibri" w:cs="Arial"/>
          <w:sz w:val="20"/>
          <w:szCs w:val="20"/>
          <w:vertAlign w:val="subscript"/>
        </w:rPr>
        <w:t>D</w:t>
      </w:r>
      <w:r w:rsidRPr="00405681">
        <w:rPr>
          <w:rFonts w:ascii="Calibri" w:hAnsi="Calibri" w:cs="Arial"/>
          <w:i/>
          <w:iCs/>
          <w:sz w:val="20"/>
          <w:szCs w:val="20"/>
          <w:shd w:val="clear" w:color="auto" w:fill="FFFFFF"/>
        </w:rPr>
        <w:t>):</w:t>
      </w:r>
      <w:r w:rsidRPr="00405681">
        <w:rPr>
          <w:rFonts w:ascii="Calibri" w:hAnsi="Calibri" w:cs="Arial"/>
          <w:sz w:val="20"/>
          <w:szCs w:val="20"/>
        </w:rPr>
        <w:t xml:space="preserve"> they are calculated </w:t>
      </w:r>
      <w:r w:rsidR="00B548D1">
        <w:rPr>
          <w:rFonts w:ascii="Calibri" w:hAnsi="Calibri" w:cs="Arial"/>
          <w:sz w:val="20"/>
          <w:szCs w:val="20"/>
        </w:rPr>
        <w:t xml:space="preserve">as the first moment of </w:t>
      </w:r>
      <w:r w:rsidRPr="00405681">
        <w:rPr>
          <w:rFonts w:ascii="Calibri" w:hAnsi="Calibri" w:cs="Arial"/>
          <w:sz w:val="20"/>
          <w:szCs w:val="20"/>
        </w:rPr>
        <w:t>the frequency distribution of the LET (restricted or unrestricted) of the dose distribution of the LET (restricted or unrestricted)</w:t>
      </w:r>
      <w:r w:rsidR="00B548D1">
        <w:rPr>
          <w:rFonts w:ascii="Calibri" w:hAnsi="Calibri" w:cs="Arial"/>
          <w:sz w:val="20"/>
          <w:szCs w:val="20"/>
        </w:rPr>
        <w:t>:</w:t>
      </w:r>
    </w:p>
    <w:p w14:paraId="684C636C" w14:textId="77777777" w:rsidR="00147224" w:rsidRPr="00405681" w:rsidRDefault="001F30D9" w:rsidP="00C856F0">
      <w:pPr>
        <w:jc w:val="both"/>
        <w:rPr>
          <w:rFonts w:ascii="Calibri" w:eastAsiaTheme="minorEastAsia" w:hAnsi="Calibri" w:cs="Arial"/>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L</m:t>
                  </m:r>
                </m:e>
              </m:acc>
            </m:e>
            <m:sub>
              <m:r>
                <w:rPr>
                  <w:rFonts w:ascii="Cambria Math" w:hAnsi="Cambria Math" w:cs="Arial"/>
                  <w:sz w:val="20"/>
                  <w:szCs w:val="20"/>
                </w:rPr>
                <m:t>T</m:t>
              </m:r>
            </m:sub>
          </m:sSub>
          <m:r>
            <w:rPr>
              <w:rFonts w:ascii="Cambria Math" w:hAnsi="Cambria Math" w:cs="Arial"/>
              <w:sz w:val="20"/>
              <w:szCs w:val="20"/>
            </w:rPr>
            <m:t xml:space="preserve">= </m:t>
          </m:r>
          <m:nary>
            <m:naryPr>
              <m:limLoc m:val="subSup"/>
              <m:ctrlPr>
                <w:rPr>
                  <w:rFonts w:ascii="Cambria Math" w:hAnsi="Cambria Math" w:cs="Arial"/>
                  <w:i/>
                  <w:sz w:val="20"/>
                  <w:szCs w:val="20"/>
                </w:rPr>
              </m:ctrlPr>
            </m:naryPr>
            <m:sub>
              <m:r>
                <w:rPr>
                  <w:rFonts w:ascii="Cambria Math" w:hAnsi="Cambria Math" w:cs="Arial"/>
                  <w:sz w:val="20"/>
                  <w:szCs w:val="20"/>
                </w:rPr>
                <m:t>0</m:t>
              </m:r>
            </m:sub>
            <m:sup>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max</m:t>
                  </m:r>
                </m:sub>
              </m:sSub>
            </m:sup>
            <m:e>
              <m:r>
                <w:rPr>
                  <w:rFonts w:ascii="Cambria Math" w:hAnsi="Cambria Math" w:cs="Arial"/>
                  <w:sz w:val="20"/>
                  <w:szCs w:val="20"/>
                </w:rPr>
                <m:t>L·f</m:t>
              </m:r>
              <m:d>
                <m:dPr>
                  <m:ctrlPr>
                    <w:rPr>
                      <w:rFonts w:ascii="Cambria Math" w:hAnsi="Cambria Math" w:cs="Arial"/>
                      <w:i/>
                      <w:sz w:val="20"/>
                      <w:szCs w:val="20"/>
                    </w:rPr>
                  </m:ctrlPr>
                </m:dPr>
                <m:e>
                  <m:r>
                    <w:rPr>
                      <w:rFonts w:ascii="Cambria Math" w:hAnsi="Cambria Math" w:cs="Arial"/>
                      <w:sz w:val="20"/>
                      <w:szCs w:val="20"/>
                    </w:rPr>
                    <m:t>L</m:t>
                  </m:r>
                </m:e>
              </m:d>
              <m:box>
                <m:boxPr>
                  <m:diff m:val="1"/>
                  <m:ctrlPr>
                    <w:rPr>
                      <w:rFonts w:ascii="Cambria Math" w:hAnsi="Cambria Math" w:cs="Arial"/>
                      <w:i/>
                      <w:sz w:val="20"/>
                      <w:szCs w:val="20"/>
                    </w:rPr>
                  </m:ctrlPr>
                </m:boxPr>
                <m:e>
                  <m:r>
                    <w:rPr>
                      <w:rFonts w:ascii="Cambria Math" w:hAnsi="Cambria Math" w:cs="Arial"/>
                      <w:sz w:val="20"/>
                      <w:szCs w:val="20"/>
                    </w:rPr>
                    <m:t>dL</m:t>
                  </m:r>
                </m:e>
              </m:box>
            </m:e>
          </m:nary>
        </m:oMath>
      </m:oMathPara>
    </w:p>
    <w:p w14:paraId="558F1CC5" w14:textId="77777777" w:rsidR="00147224" w:rsidRPr="00405681" w:rsidRDefault="001F30D9" w:rsidP="00C856F0">
      <w:pPr>
        <w:jc w:val="both"/>
        <w:rPr>
          <w:rFonts w:ascii="Calibri" w:hAnsi="Calibri" w:cs="Arial"/>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L</m:t>
                  </m:r>
                </m:e>
              </m:acc>
            </m:e>
            <m:sub>
              <m:r>
                <w:rPr>
                  <w:rFonts w:ascii="Cambria Math" w:hAnsi="Cambria Math" w:cs="Arial"/>
                  <w:sz w:val="20"/>
                  <w:szCs w:val="20"/>
                </w:rPr>
                <m:t>D</m:t>
              </m:r>
            </m:sub>
          </m:sSub>
          <m:r>
            <w:rPr>
              <w:rFonts w:ascii="Cambria Math" w:hAnsi="Cambria Math" w:cs="Arial"/>
              <w:sz w:val="20"/>
              <w:szCs w:val="20"/>
            </w:rPr>
            <m:t xml:space="preserve">= </m:t>
          </m:r>
          <m:nary>
            <m:naryPr>
              <m:limLoc m:val="subSup"/>
              <m:ctrlPr>
                <w:rPr>
                  <w:rFonts w:ascii="Cambria Math" w:hAnsi="Cambria Math" w:cs="Arial"/>
                  <w:i/>
                  <w:sz w:val="20"/>
                  <w:szCs w:val="20"/>
                </w:rPr>
              </m:ctrlPr>
            </m:naryPr>
            <m:sub>
              <m:r>
                <w:rPr>
                  <w:rFonts w:ascii="Cambria Math" w:hAnsi="Cambria Math" w:cs="Arial"/>
                  <w:sz w:val="20"/>
                  <w:szCs w:val="20"/>
                </w:rPr>
                <m:t>0</m:t>
              </m:r>
            </m:sub>
            <m:sup>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max</m:t>
                  </m:r>
                </m:sub>
              </m:sSub>
            </m:sup>
            <m:e>
              <m:r>
                <w:rPr>
                  <w:rFonts w:ascii="Cambria Math" w:hAnsi="Cambria Math" w:cs="Arial"/>
                  <w:sz w:val="20"/>
                  <w:szCs w:val="20"/>
                </w:rPr>
                <m:t>L·d</m:t>
              </m:r>
              <m:d>
                <m:dPr>
                  <m:ctrlPr>
                    <w:rPr>
                      <w:rFonts w:ascii="Cambria Math" w:hAnsi="Cambria Math" w:cs="Arial"/>
                      <w:i/>
                      <w:sz w:val="20"/>
                      <w:szCs w:val="20"/>
                    </w:rPr>
                  </m:ctrlPr>
                </m:dPr>
                <m:e>
                  <m:r>
                    <w:rPr>
                      <w:rFonts w:ascii="Cambria Math" w:hAnsi="Cambria Math" w:cs="Arial"/>
                      <w:sz w:val="20"/>
                      <w:szCs w:val="20"/>
                    </w:rPr>
                    <m:t>L</m:t>
                  </m:r>
                </m:e>
              </m:d>
              <m:box>
                <m:boxPr>
                  <m:diff m:val="1"/>
                  <m:ctrlPr>
                    <w:rPr>
                      <w:rFonts w:ascii="Cambria Math" w:hAnsi="Cambria Math" w:cs="Arial"/>
                      <w:i/>
                      <w:sz w:val="20"/>
                      <w:szCs w:val="20"/>
                    </w:rPr>
                  </m:ctrlPr>
                </m:boxPr>
                <m:e>
                  <m:r>
                    <w:rPr>
                      <w:rFonts w:ascii="Cambria Math" w:hAnsi="Cambria Math" w:cs="Arial"/>
                      <w:sz w:val="20"/>
                      <w:szCs w:val="20"/>
                    </w:rPr>
                    <m:t>dL</m:t>
                  </m:r>
                </m:e>
              </m:box>
            </m:e>
          </m:nary>
        </m:oMath>
      </m:oMathPara>
    </w:p>
    <w:p w14:paraId="6E4F990A" w14:textId="367BA4F0" w:rsidR="00147224" w:rsidRDefault="00147224" w:rsidP="00C856F0">
      <w:pPr>
        <w:jc w:val="both"/>
        <w:rPr>
          <w:rFonts w:ascii="Calibri" w:hAnsi="Calibri" w:cs="Arial"/>
          <w:sz w:val="20"/>
          <w:szCs w:val="20"/>
        </w:rPr>
      </w:pPr>
      <w:r w:rsidRPr="00405681">
        <w:rPr>
          <w:rFonts w:ascii="Calibri" w:hAnsi="Calibri" w:cs="Arial"/>
          <w:sz w:val="20"/>
          <w:szCs w:val="20"/>
        </w:rPr>
        <w:t xml:space="preserve">In case the average is calculated from a restricted distribution, a second subscript should indicate it, for instance </w:t>
      </w:r>
      <w:r w:rsidR="00C856F0" w:rsidRPr="00405681">
        <w:rPr>
          <w:rFonts w:ascii="Calibri" w:hAnsi="Calibri" w:cs="Arial"/>
          <w:i/>
          <w:iCs/>
          <w:sz w:val="20"/>
          <w:szCs w:val="20"/>
        </w:rPr>
        <w:t>L̄</w:t>
      </w:r>
      <w:r w:rsidR="00C856F0" w:rsidRPr="00405681">
        <w:rPr>
          <w:rFonts w:ascii="Calibri" w:hAnsi="Calibri" w:cs="Arial"/>
          <w:sz w:val="20"/>
          <w:szCs w:val="20"/>
          <w:vertAlign w:val="subscript"/>
        </w:rPr>
        <w:t>T</w:t>
      </w:r>
      <w:r w:rsidRPr="00405681">
        <w:rPr>
          <w:rFonts w:ascii="Calibri" w:hAnsi="Calibri" w:cs="Arial"/>
          <w:sz w:val="20"/>
          <w:szCs w:val="20"/>
          <w:vertAlign w:val="subscript"/>
        </w:rPr>
        <w:t>,100</w:t>
      </w:r>
      <w:r w:rsidRPr="00405681">
        <w:rPr>
          <w:rFonts w:ascii="Calibri" w:hAnsi="Calibri" w:cs="Arial"/>
          <w:sz w:val="20"/>
          <w:szCs w:val="20"/>
        </w:rPr>
        <w:t xml:space="preserve">. </w:t>
      </w:r>
    </w:p>
    <w:p w14:paraId="409DFD8F" w14:textId="77777777" w:rsidR="000D73A0" w:rsidRDefault="00DD7A4B" w:rsidP="000D73A0">
      <w:pPr>
        <w:keepNext/>
        <w:keepLines/>
        <w:numPr>
          <w:ilvl w:val="1"/>
          <w:numId w:val="1"/>
        </w:numPr>
        <w:spacing w:before="40" w:after="0"/>
        <w:jc w:val="both"/>
        <w:outlineLvl w:val="1"/>
        <w:rPr>
          <w:rFonts w:ascii="Calibri" w:hAnsi="Calibri" w:cs="Arial"/>
          <w:sz w:val="20"/>
          <w:szCs w:val="20"/>
        </w:rPr>
      </w:pPr>
      <w:r w:rsidRPr="00DD7A4B">
        <w:rPr>
          <w:rFonts w:ascii="Calibri" w:hAnsi="Calibri" w:cs="Arial"/>
          <w:sz w:val="20"/>
          <w:szCs w:val="20"/>
        </w:rPr>
        <w:t>Clarification</w:t>
      </w:r>
      <w:r w:rsidR="000D73A0">
        <w:rPr>
          <w:rFonts w:ascii="Calibri" w:hAnsi="Calibri" w:cs="Arial"/>
          <w:sz w:val="20"/>
          <w:szCs w:val="20"/>
        </w:rPr>
        <w:t>s</w:t>
      </w:r>
      <w:r w:rsidRPr="00DD7A4B">
        <w:rPr>
          <w:rFonts w:ascii="Calibri" w:hAnsi="Calibri" w:cs="Arial"/>
          <w:sz w:val="20"/>
          <w:szCs w:val="20"/>
        </w:rPr>
        <w:t xml:space="preserve"> </w:t>
      </w:r>
    </w:p>
    <w:p w14:paraId="28AA1549" w14:textId="19D16677" w:rsidR="00A72847" w:rsidRPr="00A72847" w:rsidRDefault="00A72847" w:rsidP="00A72847">
      <w:pPr>
        <w:pStyle w:val="ListParagraph"/>
        <w:numPr>
          <w:ilvl w:val="0"/>
          <w:numId w:val="18"/>
        </w:numPr>
        <w:jc w:val="both"/>
        <w:rPr>
          <w:rFonts w:ascii="Calibri" w:hAnsi="Calibri" w:cs="Arial"/>
          <w:sz w:val="20"/>
          <w:szCs w:val="20"/>
        </w:rPr>
      </w:pPr>
      <w:r w:rsidRPr="00A72847">
        <w:rPr>
          <w:rFonts w:ascii="Calibri" w:hAnsi="Calibri" w:cs="Arial"/>
          <w:sz w:val="20"/>
          <w:szCs w:val="20"/>
        </w:rPr>
        <w:t xml:space="preserve">"LET" has become a widely used descriptor of a </w:t>
      </w:r>
      <w:r>
        <w:rPr>
          <w:rFonts w:ascii="Calibri" w:hAnsi="Calibri" w:cs="Arial"/>
          <w:sz w:val="20"/>
          <w:szCs w:val="20"/>
        </w:rPr>
        <w:t xml:space="preserve">general </w:t>
      </w:r>
      <w:r w:rsidRPr="00A72847">
        <w:rPr>
          <w:rFonts w:ascii="Calibri" w:hAnsi="Calibri" w:cs="Arial"/>
          <w:sz w:val="20"/>
          <w:szCs w:val="20"/>
        </w:rPr>
        <w:t>radiation property. In ion-beam therapy, LET is increasingly regarded as synonymous with radiation quality and is commonly employed to differentiate types of ionizing radiation into categories such as low-LET and high-LET. This generalization encompasses all ionizing radiation types—for example, X-rays are typically classified as low-LET radiation, even though LET cannot be strictly defined for photons under its formal definition.</w:t>
      </w:r>
      <w:r>
        <w:rPr>
          <w:rFonts w:ascii="Calibri" w:hAnsi="Calibri" w:cs="Arial"/>
          <w:sz w:val="20"/>
          <w:szCs w:val="20"/>
        </w:rPr>
        <w:t xml:space="preserve"> </w:t>
      </w:r>
      <w:r w:rsidRPr="00A72847">
        <w:rPr>
          <w:rFonts w:ascii="Calibri" w:hAnsi="Calibri" w:cs="Arial"/>
          <w:sz w:val="20"/>
          <w:szCs w:val="20"/>
        </w:rPr>
        <w:t xml:space="preserve">The threshold between low and high LET is not universally defined. One practical approach is to relate it to the maximum stopping power of electrons in water, which is </w:t>
      </w:r>
      <w:r w:rsidRPr="00A72847">
        <w:rPr>
          <w:rFonts w:ascii="Calibri" w:hAnsi="Calibri" w:cs="Arial"/>
          <w:sz w:val="20"/>
          <w:szCs w:val="20"/>
        </w:rPr>
        <w:lastRenderedPageBreak/>
        <w:t>on the order of 10 keV·µm⁻¹. This threshold is particularly useful from a radiobiological perspective, as the proportionality between cellular damage effectiveness and dose tends to shift around this value.</w:t>
      </w:r>
      <w:r w:rsidR="001E41CC">
        <w:rPr>
          <w:rFonts w:ascii="Calibri" w:hAnsi="Calibri" w:cs="Arial"/>
          <w:sz w:val="20"/>
          <w:szCs w:val="20"/>
        </w:rPr>
        <w:t xml:space="preserve"> </w:t>
      </w:r>
      <w:r w:rsidRPr="00A72847">
        <w:rPr>
          <w:rFonts w:ascii="Calibri" w:hAnsi="Calibri" w:cs="Arial"/>
          <w:sz w:val="20"/>
          <w:szCs w:val="20"/>
        </w:rPr>
        <w:t>Typically, photons are considered low-LET radiation; protons with energies above 4 MeV also fall into the low-LET category, whereas carbon ions—at all clinically used energies—are consistently classified as high-LET radiation.</w:t>
      </w:r>
    </w:p>
    <w:p w14:paraId="070A523E" w14:textId="20AD051E" w:rsidR="00D47AE3" w:rsidRDefault="00731C9A" w:rsidP="00731C9A">
      <w:pPr>
        <w:pStyle w:val="ListParagraph"/>
        <w:numPr>
          <w:ilvl w:val="0"/>
          <w:numId w:val="18"/>
        </w:numPr>
        <w:jc w:val="both"/>
        <w:rPr>
          <w:rFonts w:ascii="Calibri" w:hAnsi="Calibri" w:cs="Arial"/>
          <w:sz w:val="20"/>
          <w:szCs w:val="20"/>
        </w:rPr>
      </w:pPr>
      <w:r>
        <w:rPr>
          <w:rFonts w:ascii="Calibri" w:hAnsi="Calibri" w:cs="Arial"/>
          <w:sz w:val="20"/>
          <w:szCs w:val="20"/>
        </w:rPr>
        <w:t xml:space="preserve">The term LET has become a general description of a radiation property: </w:t>
      </w:r>
      <w:r w:rsidR="00D47AE3" w:rsidRPr="00D47AE3">
        <w:rPr>
          <w:rFonts w:ascii="Calibri" w:hAnsi="Calibri" w:cs="Arial"/>
          <w:sz w:val="20"/>
          <w:szCs w:val="20"/>
        </w:rPr>
        <w:t>In ion-beam therapy, LET is becoming almost the synonymous of radiation quality and used as general parameter to distinguish the type of ionizing radiation indicated as low-LET and high-LET.</w:t>
      </w:r>
      <w:r w:rsidR="00D47AE3">
        <w:rPr>
          <w:rFonts w:ascii="Calibri" w:hAnsi="Calibri" w:cs="Arial"/>
          <w:sz w:val="20"/>
          <w:szCs w:val="20"/>
        </w:rPr>
        <w:t xml:space="preserve"> This generalization includes all the ionizing radiation so that, for instance, X-rays are indicated as the typical low-LET radiation, although no LET can be established for photons according to the definition. </w:t>
      </w:r>
    </w:p>
    <w:p w14:paraId="2BB28E60" w14:textId="30ACF612" w:rsidR="00731C9A" w:rsidRDefault="00D47AE3" w:rsidP="00D47AE3">
      <w:pPr>
        <w:pStyle w:val="ListParagraph"/>
        <w:ind w:left="360"/>
        <w:jc w:val="both"/>
        <w:rPr>
          <w:rFonts w:ascii="Calibri" w:hAnsi="Calibri" w:cs="Arial"/>
          <w:sz w:val="20"/>
          <w:szCs w:val="20"/>
        </w:rPr>
      </w:pPr>
      <w:r w:rsidRPr="00D47AE3">
        <w:rPr>
          <w:rFonts w:ascii="Calibri" w:hAnsi="Calibri" w:cs="Arial"/>
          <w:sz w:val="20"/>
          <w:szCs w:val="20"/>
        </w:rPr>
        <w:t>The threshold between low and high</w:t>
      </w:r>
      <w:r>
        <w:rPr>
          <w:rFonts w:ascii="Calibri" w:hAnsi="Calibri" w:cs="Arial"/>
          <w:sz w:val="20"/>
          <w:szCs w:val="20"/>
        </w:rPr>
        <w:t xml:space="preserve"> LET</w:t>
      </w:r>
      <w:r w:rsidRPr="00D47AE3">
        <w:rPr>
          <w:rFonts w:ascii="Calibri" w:hAnsi="Calibri" w:cs="Arial"/>
          <w:sz w:val="20"/>
          <w:szCs w:val="20"/>
        </w:rPr>
        <w:t xml:space="preserve"> is not </w:t>
      </w:r>
      <w:r>
        <w:rPr>
          <w:rFonts w:ascii="Calibri" w:hAnsi="Calibri" w:cs="Arial"/>
          <w:sz w:val="20"/>
          <w:szCs w:val="20"/>
        </w:rPr>
        <w:t xml:space="preserve">univocal. A possible way is to associate it to </w:t>
      </w:r>
      <w:r w:rsidRPr="00D47AE3">
        <w:rPr>
          <w:rFonts w:ascii="Calibri" w:hAnsi="Calibri" w:cs="Arial"/>
          <w:sz w:val="20"/>
          <w:szCs w:val="20"/>
        </w:rPr>
        <w:t>the maximum stopping power value of the electrons in water (in the order of 10</w:t>
      </w:r>
      <w:r>
        <w:rPr>
          <w:rFonts w:ascii="Calibri" w:hAnsi="Calibri" w:cs="Arial"/>
          <w:sz w:val="20"/>
          <w:szCs w:val="20"/>
        </w:rPr>
        <w:t> </w:t>
      </w:r>
      <w:r w:rsidRPr="00D47AE3">
        <w:rPr>
          <w:rFonts w:ascii="Calibri" w:hAnsi="Calibri" w:cs="Arial"/>
          <w:sz w:val="20"/>
          <w:szCs w:val="20"/>
        </w:rPr>
        <w:t>keV·µm</w:t>
      </w:r>
      <w:r w:rsidRPr="00D47AE3">
        <w:rPr>
          <w:rFonts w:ascii="Calibri" w:hAnsi="Calibri" w:cs="Arial"/>
          <w:sz w:val="20"/>
          <w:szCs w:val="20"/>
          <w:vertAlign w:val="superscript"/>
        </w:rPr>
        <w:noBreakHyphen/>
        <w:t>1</w:t>
      </w:r>
      <w:r w:rsidRPr="00D47AE3">
        <w:rPr>
          <w:rFonts w:ascii="Calibri" w:hAnsi="Calibri" w:cs="Arial"/>
          <w:sz w:val="20"/>
          <w:szCs w:val="20"/>
        </w:rPr>
        <w:t>)</w:t>
      </w:r>
      <w:r>
        <w:rPr>
          <w:rFonts w:ascii="Calibri" w:hAnsi="Calibri" w:cs="Arial"/>
          <w:sz w:val="20"/>
          <w:szCs w:val="20"/>
        </w:rPr>
        <w:t xml:space="preserve">; </w:t>
      </w:r>
      <w:r w:rsidR="00A72847">
        <w:rPr>
          <w:rFonts w:ascii="Calibri" w:hAnsi="Calibri" w:cs="Arial"/>
          <w:sz w:val="20"/>
          <w:szCs w:val="20"/>
        </w:rPr>
        <w:t xml:space="preserve">this is convenient also for </w:t>
      </w:r>
      <w:r>
        <w:rPr>
          <w:rFonts w:ascii="Calibri" w:hAnsi="Calibri" w:cs="Arial"/>
          <w:sz w:val="20"/>
          <w:szCs w:val="20"/>
        </w:rPr>
        <w:t xml:space="preserve">radiobiological </w:t>
      </w:r>
      <w:r w:rsidR="00A72847">
        <w:rPr>
          <w:rFonts w:ascii="Calibri" w:hAnsi="Calibri" w:cs="Arial"/>
          <w:sz w:val="20"/>
          <w:szCs w:val="20"/>
        </w:rPr>
        <w:t>purposes since it is around that value that the effectiveness on cell damage changes with LET</w:t>
      </w:r>
      <w:r w:rsidRPr="00D47AE3">
        <w:rPr>
          <w:rFonts w:ascii="Calibri" w:hAnsi="Calibri" w:cs="Arial"/>
          <w:sz w:val="20"/>
          <w:szCs w:val="20"/>
        </w:rPr>
        <w:t xml:space="preserve">. </w:t>
      </w:r>
      <w:r w:rsidR="00A72847">
        <w:rPr>
          <w:rFonts w:ascii="Calibri" w:hAnsi="Calibri" w:cs="Arial"/>
          <w:sz w:val="20"/>
          <w:szCs w:val="20"/>
        </w:rPr>
        <w:t>In general</w:t>
      </w:r>
      <w:r w:rsidRPr="00D47AE3">
        <w:rPr>
          <w:rFonts w:ascii="Calibri" w:hAnsi="Calibri" w:cs="Arial"/>
          <w:sz w:val="20"/>
          <w:szCs w:val="20"/>
        </w:rPr>
        <w:t>, photons are low-LET radiation, protons with energy exceeding 4</w:t>
      </w:r>
      <w:r w:rsidR="00A72847">
        <w:rPr>
          <w:rFonts w:ascii="Calibri" w:hAnsi="Calibri" w:cs="Arial"/>
          <w:sz w:val="20"/>
          <w:szCs w:val="20"/>
        </w:rPr>
        <w:t> </w:t>
      </w:r>
      <w:r w:rsidRPr="00D47AE3">
        <w:rPr>
          <w:rFonts w:ascii="Calibri" w:hAnsi="Calibri" w:cs="Arial"/>
          <w:sz w:val="20"/>
          <w:szCs w:val="20"/>
        </w:rPr>
        <w:t>MeV are low-LET radiation and carbon ions are constantly high-LET radiation</w:t>
      </w:r>
      <w:r w:rsidR="00A72847">
        <w:rPr>
          <w:rFonts w:ascii="Calibri" w:hAnsi="Calibri" w:cs="Arial"/>
          <w:sz w:val="20"/>
          <w:szCs w:val="20"/>
        </w:rPr>
        <w:t xml:space="preserve"> also for the maximum energies used in clinics</w:t>
      </w:r>
      <w:r w:rsidRPr="00D47AE3">
        <w:rPr>
          <w:rFonts w:ascii="Calibri" w:hAnsi="Calibri" w:cs="Arial"/>
          <w:sz w:val="20"/>
          <w:szCs w:val="20"/>
        </w:rPr>
        <w:t xml:space="preserve">. </w:t>
      </w:r>
    </w:p>
    <w:p w14:paraId="1F71287F" w14:textId="68B96708" w:rsidR="00DD7A4B" w:rsidRPr="00731C9A" w:rsidRDefault="00DD7A4B" w:rsidP="00731C9A">
      <w:pPr>
        <w:pStyle w:val="ListParagraph"/>
        <w:numPr>
          <w:ilvl w:val="0"/>
          <w:numId w:val="18"/>
        </w:numPr>
        <w:jc w:val="both"/>
        <w:rPr>
          <w:rFonts w:ascii="Calibri" w:hAnsi="Calibri" w:cs="Arial"/>
          <w:sz w:val="20"/>
          <w:szCs w:val="20"/>
        </w:rPr>
      </w:pPr>
      <w:r w:rsidRPr="00731C9A">
        <w:rPr>
          <w:rFonts w:ascii="Calibri" w:hAnsi="Calibri" w:cs="Arial"/>
          <w:sz w:val="20"/>
          <w:szCs w:val="20"/>
        </w:rPr>
        <w:t xml:space="preserve">In publications related to clinical irradiation fields, the term LET distribution is typically used to describe the spatial </w:t>
      </w:r>
      <w:r w:rsidRPr="00731C9A">
        <w:rPr>
          <w:rFonts w:ascii="Calibri" w:hAnsi="Calibri" w:cs="Arial"/>
          <w:i/>
          <w:iCs/>
          <w:sz w:val="20"/>
          <w:szCs w:val="20"/>
        </w:rPr>
        <w:t xml:space="preserve">3D distribution of </w:t>
      </w:r>
      <w:proofErr w:type="spellStart"/>
      <w:r w:rsidRPr="00731C9A">
        <w:rPr>
          <w:rFonts w:ascii="Calibri" w:hAnsi="Calibri" w:cs="Arial"/>
          <w:i/>
          <w:iCs/>
          <w:sz w:val="20"/>
          <w:szCs w:val="20"/>
        </w:rPr>
        <w:t>LETd</w:t>
      </w:r>
      <w:proofErr w:type="spellEnd"/>
      <w:r w:rsidRPr="00731C9A">
        <w:rPr>
          <w:rFonts w:ascii="Calibri" w:hAnsi="Calibri" w:cs="Arial"/>
          <w:sz w:val="20"/>
          <w:szCs w:val="20"/>
        </w:rPr>
        <w:t xml:space="preserve"> within or around the target volume. This is distinct from </w:t>
      </w:r>
      <w:r w:rsidRPr="00731C9A">
        <w:rPr>
          <w:rFonts w:ascii="Calibri" w:hAnsi="Calibri" w:cs="Arial"/>
          <w:i/>
          <w:iCs/>
          <w:sz w:val="20"/>
          <w:szCs w:val="20"/>
        </w:rPr>
        <w:t>density distributions of LET</w:t>
      </w:r>
      <w:r w:rsidR="00B548D1" w:rsidRPr="00731C9A">
        <w:rPr>
          <w:rFonts w:ascii="Calibri" w:hAnsi="Calibri" w:cs="Arial"/>
          <w:sz w:val="20"/>
          <w:szCs w:val="20"/>
        </w:rPr>
        <w:t xml:space="preserve">. </w:t>
      </w:r>
      <w:r w:rsidRPr="00731C9A">
        <w:rPr>
          <w:rFonts w:ascii="Calibri" w:hAnsi="Calibri" w:cs="Arial"/>
          <w:sz w:val="20"/>
          <w:szCs w:val="20"/>
        </w:rPr>
        <w:t xml:space="preserve"> </w:t>
      </w:r>
      <w:r w:rsidR="00B548D1" w:rsidRPr="00731C9A">
        <w:rPr>
          <w:rFonts w:ascii="Calibri" w:hAnsi="Calibri" w:cs="Arial"/>
          <w:sz w:val="20"/>
          <w:szCs w:val="20"/>
        </w:rPr>
        <w:t>Both distributions have been often referred simply as LET distribution</w:t>
      </w:r>
      <w:r w:rsidR="00F147A8" w:rsidRPr="00731C9A">
        <w:rPr>
          <w:rFonts w:ascii="Calibri" w:hAnsi="Calibri" w:cs="Arial"/>
          <w:sz w:val="20"/>
          <w:szCs w:val="20"/>
        </w:rPr>
        <w:t xml:space="preserve">, inevitably creating confusion and the suggestion is to explicitly emphasized he </w:t>
      </w:r>
      <w:r w:rsidRPr="00731C9A">
        <w:rPr>
          <w:rFonts w:ascii="Calibri" w:hAnsi="Calibri" w:cs="Arial"/>
          <w:sz w:val="20"/>
          <w:szCs w:val="20"/>
        </w:rPr>
        <w:t>distinction to prevent any ambiguity.</w:t>
      </w:r>
    </w:p>
    <w:p w14:paraId="7EAF0EEA" w14:textId="55B652EA" w:rsidR="00F22A73" w:rsidRDefault="00147224" w:rsidP="00731C9A">
      <w:pPr>
        <w:pStyle w:val="ListParagraph"/>
        <w:numPr>
          <w:ilvl w:val="0"/>
          <w:numId w:val="18"/>
        </w:numPr>
        <w:jc w:val="both"/>
        <w:rPr>
          <w:rFonts w:ascii="Calibri" w:hAnsi="Calibri" w:cs="Arial"/>
          <w:sz w:val="20"/>
          <w:szCs w:val="20"/>
        </w:rPr>
      </w:pPr>
      <w:r w:rsidRPr="00731C9A">
        <w:rPr>
          <w:rFonts w:ascii="Calibri" w:hAnsi="Calibri" w:cs="Arial"/>
          <w:sz w:val="20"/>
          <w:szCs w:val="20"/>
        </w:rPr>
        <w:t xml:space="preserve">When LET </w:t>
      </w:r>
      <w:r w:rsidR="00625961" w:rsidRPr="00731C9A">
        <w:rPr>
          <w:rFonts w:ascii="Calibri" w:hAnsi="Calibri" w:cs="Arial"/>
          <w:sz w:val="20"/>
          <w:szCs w:val="20"/>
        </w:rPr>
        <w:t xml:space="preserve">distributions </w:t>
      </w:r>
      <w:r w:rsidR="004B1A57" w:rsidRPr="00731C9A">
        <w:rPr>
          <w:rFonts w:ascii="Calibri" w:hAnsi="Calibri" w:cs="Arial"/>
          <w:sz w:val="20"/>
          <w:szCs w:val="20"/>
        </w:rPr>
        <w:t xml:space="preserve">and LET </w:t>
      </w:r>
      <w:r w:rsidRPr="00731C9A">
        <w:rPr>
          <w:rFonts w:ascii="Calibri" w:hAnsi="Calibri" w:cs="Arial"/>
          <w:sz w:val="20"/>
          <w:szCs w:val="20"/>
        </w:rPr>
        <w:t xml:space="preserve">averages </w:t>
      </w:r>
      <w:r w:rsidR="00625961" w:rsidRPr="00731C9A">
        <w:rPr>
          <w:rFonts w:ascii="Calibri" w:hAnsi="Calibri" w:cs="Arial"/>
          <w:sz w:val="20"/>
          <w:szCs w:val="20"/>
        </w:rPr>
        <w:t xml:space="preserve">are discussed </w:t>
      </w:r>
      <w:r w:rsidRPr="00731C9A">
        <w:rPr>
          <w:rFonts w:ascii="Calibri" w:hAnsi="Calibri" w:cs="Arial"/>
          <w:sz w:val="20"/>
          <w:szCs w:val="20"/>
        </w:rPr>
        <w:t xml:space="preserve">in </w:t>
      </w:r>
      <w:r w:rsidR="004B1A57" w:rsidRPr="00731C9A">
        <w:rPr>
          <w:rFonts w:ascii="Calibri" w:hAnsi="Calibri" w:cs="Arial"/>
          <w:sz w:val="20"/>
          <w:szCs w:val="20"/>
        </w:rPr>
        <w:t>other chapters</w:t>
      </w:r>
      <w:r w:rsidRPr="00731C9A">
        <w:rPr>
          <w:rFonts w:ascii="Calibri" w:hAnsi="Calibri" w:cs="Arial"/>
          <w:sz w:val="20"/>
          <w:szCs w:val="20"/>
        </w:rPr>
        <w:t>,</w:t>
      </w:r>
      <w:r w:rsidR="00625961" w:rsidRPr="00731C9A">
        <w:rPr>
          <w:rFonts w:ascii="Calibri" w:hAnsi="Calibri" w:cs="Arial"/>
          <w:sz w:val="20"/>
          <w:szCs w:val="20"/>
        </w:rPr>
        <w:t xml:space="preserve"> the general assumption is that they refer to </w:t>
      </w:r>
      <w:r w:rsidRPr="00731C9A">
        <w:rPr>
          <w:rFonts w:ascii="Calibri" w:hAnsi="Calibri" w:cs="Arial"/>
          <w:sz w:val="20"/>
          <w:szCs w:val="20"/>
        </w:rPr>
        <w:t xml:space="preserve">unrestricted LET, although this may not apply to all reference data in literature, as noted by </w:t>
      </w:r>
      <w:proofErr w:type="spellStart"/>
      <w:r w:rsidRPr="00731C9A">
        <w:rPr>
          <w:rFonts w:ascii="Calibri" w:hAnsi="Calibri" w:cs="Arial"/>
          <w:sz w:val="20"/>
          <w:szCs w:val="20"/>
        </w:rPr>
        <w:t>Kalholm</w:t>
      </w:r>
      <w:proofErr w:type="spellEnd"/>
      <w:r w:rsidRPr="00731C9A">
        <w:rPr>
          <w:rFonts w:ascii="Calibri" w:hAnsi="Calibri" w:cs="Arial"/>
          <w:sz w:val="20"/>
          <w:szCs w:val="20"/>
        </w:rPr>
        <w:t xml:space="preserve"> et al.</w:t>
      </w:r>
      <w:r w:rsidRPr="00405681">
        <w:rPr>
          <w:vertAlign w:val="superscript"/>
        </w:rPr>
        <w:footnoteReference w:id="1"/>
      </w:r>
      <w:r w:rsidRPr="00731C9A">
        <w:rPr>
          <w:rFonts w:ascii="Calibri" w:hAnsi="Calibri" w:cs="Arial"/>
          <w:sz w:val="20"/>
          <w:szCs w:val="20"/>
        </w:rPr>
        <w:t xml:space="preserve"> </w:t>
      </w:r>
    </w:p>
    <w:p w14:paraId="4E97C794" w14:textId="77777777" w:rsidR="00F22A73" w:rsidRDefault="00F22A73">
      <w:pPr>
        <w:rPr>
          <w:rFonts w:ascii="Calibri" w:hAnsi="Calibri" w:cs="Arial"/>
          <w:sz w:val="20"/>
          <w:szCs w:val="20"/>
        </w:rPr>
      </w:pPr>
      <w:r>
        <w:rPr>
          <w:rFonts w:ascii="Calibri" w:hAnsi="Calibri" w:cs="Arial"/>
          <w:sz w:val="20"/>
          <w:szCs w:val="20"/>
        </w:rPr>
        <w:br w:type="page"/>
      </w:r>
    </w:p>
    <w:p w14:paraId="1E0C0880" w14:textId="4EAECF72" w:rsidR="00365B64" w:rsidRDefault="00365B64" w:rsidP="00F22A73">
      <w:pPr>
        <w:pStyle w:val="ListParagraph"/>
        <w:ind w:left="360"/>
        <w:jc w:val="both"/>
        <w:rPr>
          <w:rFonts w:ascii="Calibri" w:hAnsi="Calibri" w:cs="Arial"/>
          <w:sz w:val="20"/>
          <w:szCs w:val="20"/>
          <w:shd w:val="clear" w:color="auto" w:fill="FFFFFF"/>
        </w:rPr>
      </w:pPr>
    </w:p>
    <w:tbl>
      <w:tblPr>
        <w:tblStyle w:val="TableGrid"/>
        <w:tblW w:w="8991" w:type="dxa"/>
        <w:tblInd w:w="360" w:type="dxa"/>
        <w:tblLayout w:type="fixed"/>
        <w:tblLook w:val="04A0" w:firstRow="1" w:lastRow="0" w:firstColumn="1" w:lastColumn="0" w:noHBand="0" w:noVBand="1"/>
      </w:tblPr>
      <w:tblGrid>
        <w:gridCol w:w="911"/>
        <w:gridCol w:w="1276"/>
        <w:gridCol w:w="2693"/>
        <w:gridCol w:w="4111"/>
      </w:tblGrid>
      <w:tr w:rsidR="001F5B8E" w14:paraId="23C6CC51" w14:textId="77777777" w:rsidTr="009A278A">
        <w:trPr>
          <w:trHeight w:val="732"/>
        </w:trPr>
        <w:tc>
          <w:tcPr>
            <w:tcW w:w="8991" w:type="dxa"/>
            <w:gridSpan w:val="4"/>
          </w:tcPr>
          <w:p w14:paraId="386E7BE9" w14:textId="5C190D18" w:rsidR="001F5B8E" w:rsidRPr="001F5B8E" w:rsidRDefault="001F5B8E" w:rsidP="001F5B8E">
            <w:pPr>
              <w:jc w:val="both"/>
              <w:rPr>
                <w:rFonts w:ascii="Calibri" w:hAnsi="Calibri" w:cs="Arial"/>
                <w:sz w:val="20"/>
                <w:szCs w:val="20"/>
                <w:shd w:val="clear" w:color="auto" w:fill="FFFFFF"/>
              </w:rPr>
            </w:pPr>
            <w:r>
              <w:rPr>
                <w:rFonts w:ascii="Calibri" w:hAnsi="Calibri" w:cs="Arial"/>
                <w:sz w:val="20"/>
                <w:szCs w:val="20"/>
                <w:shd w:val="clear" w:color="auto" w:fill="FFFFFF"/>
              </w:rPr>
              <w:t>Chapter RED</w:t>
            </w:r>
          </w:p>
        </w:tc>
      </w:tr>
      <w:tr w:rsidR="001F5B8E" w14:paraId="70648182" w14:textId="77777777" w:rsidTr="00156E64">
        <w:trPr>
          <w:trHeight w:val="248"/>
        </w:trPr>
        <w:tc>
          <w:tcPr>
            <w:tcW w:w="911" w:type="dxa"/>
          </w:tcPr>
          <w:p w14:paraId="1C98F993" w14:textId="41DB9396" w:rsidR="001F5B8E" w:rsidRPr="001F5B8E" w:rsidRDefault="001F5B8E" w:rsidP="001F5B8E">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Version</w:t>
            </w:r>
          </w:p>
        </w:tc>
        <w:tc>
          <w:tcPr>
            <w:tcW w:w="1276" w:type="dxa"/>
          </w:tcPr>
          <w:p w14:paraId="33AB2E15" w14:textId="1FB9C00E" w:rsidR="001F5B8E" w:rsidRPr="001F5B8E" w:rsidRDefault="001F5B8E" w:rsidP="001F5B8E">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Date</w:t>
            </w:r>
          </w:p>
        </w:tc>
        <w:tc>
          <w:tcPr>
            <w:tcW w:w="2693" w:type="dxa"/>
          </w:tcPr>
          <w:p w14:paraId="49139F84" w14:textId="34099567" w:rsidR="001F5B8E" w:rsidRPr="001F5B8E" w:rsidRDefault="001F5B8E" w:rsidP="001F5B8E">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Authors</w:t>
            </w:r>
          </w:p>
        </w:tc>
        <w:tc>
          <w:tcPr>
            <w:tcW w:w="4111" w:type="dxa"/>
          </w:tcPr>
          <w:p w14:paraId="35FCDAC8" w14:textId="2D671F2F" w:rsidR="001F5B8E" w:rsidRPr="001F5B8E" w:rsidRDefault="001F5B8E" w:rsidP="001F5B8E">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Major changes and comments</w:t>
            </w:r>
          </w:p>
        </w:tc>
      </w:tr>
      <w:tr w:rsidR="001F5B8E" w14:paraId="39E24B9D" w14:textId="77777777" w:rsidTr="00156E64">
        <w:trPr>
          <w:trHeight w:val="265"/>
        </w:trPr>
        <w:tc>
          <w:tcPr>
            <w:tcW w:w="911" w:type="dxa"/>
          </w:tcPr>
          <w:p w14:paraId="28D88489" w14:textId="74220C2A" w:rsidR="001F5B8E" w:rsidRDefault="001F5B8E" w:rsidP="001F5B8E">
            <w:pPr>
              <w:pStyle w:val="ListParagraph"/>
              <w:ind w:left="0"/>
              <w:jc w:val="right"/>
              <w:rPr>
                <w:rFonts w:ascii="Calibri" w:hAnsi="Calibri" w:cs="Arial"/>
                <w:sz w:val="20"/>
                <w:szCs w:val="20"/>
                <w:shd w:val="clear" w:color="auto" w:fill="FFFFFF"/>
              </w:rPr>
            </w:pPr>
            <w:r>
              <w:rPr>
                <w:rFonts w:ascii="Calibri" w:hAnsi="Calibri" w:cs="Arial"/>
                <w:sz w:val="20"/>
                <w:szCs w:val="20"/>
                <w:shd w:val="clear" w:color="auto" w:fill="FFFFFF"/>
              </w:rPr>
              <w:t>0.1</w:t>
            </w:r>
          </w:p>
        </w:tc>
        <w:tc>
          <w:tcPr>
            <w:tcW w:w="1276" w:type="dxa"/>
          </w:tcPr>
          <w:p w14:paraId="1561498C" w14:textId="26660D8F" w:rsidR="001F5B8E" w:rsidRDefault="001F5B8E" w:rsidP="001F5B8E">
            <w:pPr>
              <w:pStyle w:val="ListParagraph"/>
              <w:ind w:left="0"/>
              <w:jc w:val="right"/>
              <w:rPr>
                <w:rFonts w:ascii="Calibri" w:hAnsi="Calibri" w:cs="Arial"/>
                <w:sz w:val="20"/>
                <w:szCs w:val="20"/>
                <w:shd w:val="clear" w:color="auto" w:fill="FFFFFF"/>
              </w:rPr>
            </w:pPr>
            <w:r>
              <w:rPr>
                <w:rFonts w:ascii="Calibri" w:hAnsi="Calibri" w:cs="Arial"/>
                <w:sz w:val="20"/>
                <w:szCs w:val="20"/>
                <w:shd w:val="clear" w:color="auto" w:fill="FFFFFF"/>
              </w:rPr>
              <w:t>19 Jun 2025</w:t>
            </w:r>
          </w:p>
        </w:tc>
        <w:tc>
          <w:tcPr>
            <w:tcW w:w="2693" w:type="dxa"/>
          </w:tcPr>
          <w:p w14:paraId="504F482A" w14:textId="69B47F1F" w:rsidR="001F5B8E" w:rsidRDefault="001F5B8E" w:rsidP="001F5B8E">
            <w:pPr>
              <w:pStyle w:val="ListParagraph"/>
              <w:ind w:left="0"/>
              <w:rPr>
                <w:rFonts w:ascii="Calibri" w:hAnsi="Calibri" w:cs="Arial"/>
                <w:sz w:val="20"/>
                <w:szCs w:val="20"/>
                <w:shd w:val="clear" w:color="auto" w:fill="FFFFFF"/>
              </w:rPr>
            </w:pPr>
            <w:r>
              <w:rPr>
                <w:rFonts w:ascii="Calibri" w:hAnsi="Calibri" w:cs="Arial"/>
                <w:sz w:val="20"/>
                <w:szCs w:val="20"/>
                <w:shd w:val="clear" w:color="auto" w:fill="FFFFFF"/>
              </w:rPr>
              <w:t>Giulio Magrin</w:t>
            </w:r>
          </w:p>
        </w:tc>
        <w:tc>
          <w:tcPr>
            <w:tcW w:w="4111" w:type="dxa"/>
          </w:tcPr>
          <w:p w14:paraId="0A64C403" w14:textId="3D072FE6" w:rsidR="001F5B8E" w:rsidRDefault="001F5B8E" w:rsidP="001F5B8E">
            <w:pPr>
              <w:pStyle w:val="ListParagraph"/>
              <w:ind w:left="0"/>
              <w:rPr>
                <w:rFonts w:ascii="Calibri" w:hAnsi="Calibri" w:cs="Arial"/>
                <w:sz w:val="20"/>
                <w:szCs w:val="20"/>
                <w:shd w:val="clear" w:color="auto" w:fill="FFFFFF"/>
              </w:rPr>
            </w:pPr>
            <w:r>
              <w:rPr>
                <w:rFonts w:ascii="Calibri" w:hAnsi="Calibri" w:cs="Arial"/>
                <w:sz w:val="20"/>
                <w:szCs w:val="20"/>
                <w:shd w:val="clear" w:color="auto" w:fill="FFFFFF"/>
              </w:rPr>
              <w:t xml:space="preserve">First </w:t>
            </w:r>
            <w:r w:rsidR="00002538">
              <w:rPr>
                <w:rFonts w:ascii="Calibri" w:hAnsi="Calibri" w:cs="Arial"/>
                <w:sz w:val="20"/>
                <w:szCs w:val="20"/>
                <w:shd w:val="clear" w:color="auto" w:fill="FFFFFF"/>
              </w:rPr>
              <w:t>draft</w:t>
            </w:r>
          </w:p>
        </w:tc>
      </w:tr>
      <w:tr w:rsidR="001F5B8E" w14:paraId="1C12AAC5" w14:textId="77777777" w:rsidTr="00156E64">
        <w:trPr>
          <w:trHeight w:val="269"/>
        </w:trPr>
        <w:tc>
          <w:tcPr>
            <w:tcW w:w="911" w:type="dxa"/>
          </w:tcPr>
          <w:p w14:paraId="7B5164A7" w14:textId="22E58212" w:rsidR="001F5B8E" w:rsidRDefault="00002538" w:rsidP="001F5B8E">
            <w:pPr>
              <w:pStyle w:val="ListParagraph"/>
              <w:ind w:left="0"/>
              <w:jc w:val="right"/>
              <w:rPr>
                <w:rFonts w:ascii="Calibri" w:hAnsi="Calibri" w:cs="Arial"/>
                <w:sz w:val="20"/>
                <w:szCs w:val="20"/>
                <w:shd w:val="clear" w:color="auto" w:fill="FFFFFF"/>
              </w:rPr>
            </w:pPr>
            <w:r>
              <w:rPr>
                <w:rFonts w:ascii="Calibri" w:hAnsi="Calibri" w:cs="Arial"/>
                <w:sz w:val="20"/>
                <w:szCs w:val="20"/>
                <w:shd w:val="clear" w:color="auto" w:fill="FFFFFF"/>
              </w:rPr>
              <w:t>0.2</w:t>
            </w:r>
          </w:p>
        </w:tc>
        <w:tc>
          <w:tcPr>
            <w:tcW w:w="1276" w:type="dxa"/>
          </w:tcPr>
          <w:p w14:paraId="7C8F4390" w14:textId="6A408CC9" w:rsidR="001F5B8E" w:rsidRDefault="00002538" w:rsidP="001F5B8E">
            <w:pPr>
              <w:pStyle w:val="ListParagraph"/>
              <w:ind w:left="0"/>
              <w:jc w:val="right"/>
              <w:rPr>
                <w:rFonts w:ascii="Calibri" w:hAnsi="Calibri" w:cs="Arial"/>
                <w:sz w:val="20"/>
                <w:szCs w:val="20"/>
                <w:shd w:val="clear" w:color="auto" w:fill="FFFFFF"/>
              </w:rPr>
            </w:pPr>
            <w:r>
              <w:rPr>
                <w:rFonts w:ascii="Calibri" w:hAnsi="Calibri" w:cs="Arial"/>
                <w:sz w:val="20"/>
                <w:szCs w:val="20"/>
                <w:shd w:val="clear" w:color="auto" w:fill="FFFFFF"/>
              </w:rPr>
              <w:t>4 Aug 2025</w:t>
            </w:r>
          </w:p>
        </w:tc>
        <w:tc>
          <w:tcPr>
            <w:tcW w:w="2693" w:type="dxa"/>
          </w:tcPr>
          <w:p w14:paraId="1F1FF6E8" w14:textId="5D16A55C" w:rsidR="001F5B8E" w:rsidRDefault="00002538" w:rsidP="001F5B8E">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Giulio Magrin</w:t>
            </w:r>
          </w:p>
        </w:tc>
        <w:tc>
          <w:tcPr>
            <w:tcW w:w="4111" w:type="dxa"/>
          </w:tcPr>
          <w:p w14:paraId="284FE50B" w14:textId="0F7C0B4B" w:rsidR="001F5B8E" w:rsidRDefault="00002538" w:rsidP="001F5B8E">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Updated part on restricted LET</w:t>
            </w:r>
          </w:p>
        </w:tc>
      </w:tr>
      <w:tr w:rsidR="001F5B8E" w14:paraId="03640AAA" w14:textId="77777777" w:rsidTr="00156E64">
        <w:trPr>
          <w:trHeight w:val="289"/>
        </w:trPr>
        <w:tc>
          <w:tcPr>
            <w:tcW w:w="911" w:type="dxa"/>
          </w:tcPr>
          <w:p w14:paraId="339FA7B4" w14:textId="77777777" w:rsidR="001F5B8E" w:rsidRDefault="001F5B8E" w:rsidP="001F5B8E">
            <w:pPr>
              <w:pStyle w:val="ListParagraph"/>
              <w:ind w:left="0"/>
              <w:jc w:val="right"/>
              <w:rPr>
                <w:rFonts w:ascii="Calibri" w:hAnsi="Calibri" w:cs="Arial"/>
                <w:sz w:val="20"/>
                <w:szCs w:val="20"/>
                <w:shd w:val="clear" w:color="auto" w:fill="FFFFFF"/>
              </w:rPr>
            </w:pPr>
          </w:p>
        </w:tc>
        <w:tc>
          <w:tcPr>
            <w:tcW w:w="1276" w:type="dxa"/>
          </w:tcPr>
          <w:p w14:paraId="0EF160A3" w14:textId="77777777" w:rsidR="001F5B8E" w:rsidRDefault="001F5B8E" w:rsidP="001F5B8E">
            <w:pPr>
              <w:pStyle w:val="ListParagraph"/>
              <w:ind w:left="0"/>
              <w:jc w:val="right"/>
              <w:rPr>
                <w:rFonts w:ascii="Calibri" w:hAnsi="Calibri" w:cs="Arial"/>
                <w:sz w:val="20"/>
                <w:szCs w:val="20"/>
                <w:shd w:val="clear" w:color="auto" w:fill="FFFFFF"/>
              </w:rPr>
            </w:pPr>
          </w:p>
        </w:tc>
        <w:tc>
          <w:tcPr>
            <w:tcW w:w="2693" w:type="dxa"/>
          </w:tcPr>
          <w:p w14:paraId="5D150230" w14:textId="77777777" w:rsidR="001F5B8E" w:rsidRDefault="001F5B8E" w:rsidP="001F5B8E">
            <w:pPr>
              <w:pStyle w:val="ListParagraph"/>
              <w:ind w:left="0"/>
              <w:jc w:val="both"/>
              <w:rPr>
                <w:rFonts w:ascii="Calibri" w:hAnsi="Calibri" w:cs="Arial"/>
                <w:sz w:val="20"/>
                <w:szCs w:val="20"/>
                <w:shd w:val="clear" w:color="auto" w:fill="FFFFFF"/>
              </w:rPr>
            </w:pPr>
          </w:p>
        </w:tc>
        <w:tc>
          <w:tcPr>
            <w:tcW w:w="4111" w:type="dxa"/>
          </w:tcPr>
          <w:p w14:paraId="0A01D564" w14:textId="77777777" w:rsidR="001F5B8E" w:rsidRDefault="001F5B8E" w:rsidP="001F5B8E">
            <w:pPr>
              <w:pStyle w:val="ListParagraph"/>
              <w:ind w:left="0"/>
              <w:jc w:val="both"/>
              <w:rPr>
                <w:rFonts w:ascii="Calibri" w:hAnsi="Calibri" w:cs="Arial"/>
                <w:sz w:val="20"/>
                <w:szCs w:val="20"/>
                <w:shd w:val="clear" w:color="auto" w:fill="FFFFFF"/>
              </w:rPr>
            </w:pPr>
          </w:p>
        </w:tc>
      </w:tr>
      <w:tr w:rsidR="001F5B8E" w14:paraId="74E75A46" w14:textId="77777777" w:rsidTr="00156E64">
        <w:trPr>
          <w:trHeight w:val="263"/>
        </w:trPr>
        <w:tc>
          <w:tcPr>
            <w:tcW w:w="911" w:type="dxa"/>
          </w:tcPr>
          <w:p w14:paraId="06995D64" w14:textId="77777777" w:rsidR="001F5B8E" w:rsidRDefault="001F5B8E" w:rsidP="001F5B8E">
            <w:pPr>
              <w:pStyle w:val="ListParagraph"/>
              <w:ind w:left="0"/>
              <w:jc w:val="right"/>
              <w:rPr>
                <w:rFonts w:ascii="Calibri" w:hAnsi="Calibri" w:cs="Arial"/>
                <w:sz w:val="20"/>
                <w:szCs w:val="20"/>
                <w:shd w:val="clear" w:color="auto" w:fill="FFFFFF"/>
              </w:rPr>
            </w:pPr>
          </w:p>
        </w:tc>
        <w:tc>
          <w:tcPr>
            <w:tcW w:w="1276" w:type="dxa"/>
          </w:tcPr>
          <w:p w14:paraId="44A07FB3" w14:textId="77777777" w:rsidR="001F5B8E" w:rsidRDefault="001F5B8E" w:rsidP="001F5B8E">
            <w:pPr>
              <w:pStyle w:val="ListParagraph"/>
              <w:ind w:left="0"/>
              <w:jc w:val="right"/>
              <w:rPr>
                <w:rFonts w:ascii="Calibri" w:hAnsi="Calibri" w:cs="Arial"/>
                <w:sz w:val="20"/>
                <w:szCs w:val="20"/>
                <w:shd w:val="clear" w:color="auto" w:fill="FFFFFF"/>
              </w:rPr>
            </w:pPr>
          </w:p>
        </w:tc>
        <w:tc>
          <w:tcPr>
            <w:tcW w:w="2693" w:type="dxa"/>
          </w:tcPr>
          <w:p w14:paraId="5C4FBC9C" w14:textId="77777777" w:rsidR="001F5B8E" w:rsidRDefault="001F5B8E" w:rsidP="001F5B8E">
            <w:pPr>
              <w:pStyle w:val="ListParagraph"/>
              <w:ind w:left="0"/>
              <w:jc w:val="both"/>
              <w:rPr>
                <w:rFonts w:ascii="Calibri" w:hAnsi="Calibri" w:cs="Arial"/>
                <w:sz w:val="20"/>
                <w:szCs w:val="20"/>
                <w:shd w:val="clear" w:color="auto" w:fill="FFFFFF"/>
              </w:rPr>
            </w:pPr>
          </w:p>
        </w:tc>
        <w:tc>
          <w:tcPr>
            <w:tcW w:w="4111" w:type="dxa"/>
          </w:tcPr>
          <w:p w14:paraId="7A038A8E" w14:textId="77777777" w:rsidR="001F5B8E" w:rsidRDefault="001F5B8E" w:rsidP="001F5B8E">
            <w:pPr>
              <w:pStyle w:val="ListParagraph"/>
              <w:ind w:left="0"/>
              <w:jc w:val="both"/>
              <w:rPr>
                <w:rFonts w:ascii="Calibri" w:hAnsi="Calibri" w:cs="Arial"/>
                <w:sz w:val="20"/>
                <w:szCs w:val="20"/>
                <w:shd w:val="clear" w:color="auto" w:fill="FFFFFF"/>
              </w:rPr>
            </w:pPr>
          </w:p>
        </w:tc>
      </w:tr>
    </w:tbl>
    <w:p w14:paraId="27FFFF75" w14:textId="77777777" w:rsidR="00365B64" w:rsidRPr="00731C9A" w:rsidRDefault="00365B64" w:rsidP="00F22A73">
      <w:pPr>
        <w:pStyle w:val="ListParagraph"/>
        <w:ind w:left="360"/>
        <w:jc w:val="both"/>
        <w:rPr>
          <w:rFonts w:ascii="Calibri" w:hAnsi="Calibri" w:cs="Arial"/>
          <w:sz w:val="20"/>
          <w:szCs w:val="20"/>
          <w:shd w:val="clear" w:color="auto" w:fill="FFFFFF"/>
        </w:rPr>
      </w:pPr>
    </w:p>
    <w:sectPr w:rsidR="00365B64" w:rsidRPr="00731C9A" w:rsidSect="00C856F0">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9DACE" w14:textId="77777777" w:rsidR="00147224" w:rsidRDefault="00147224" w:rsidP="00147224">
      <w:pPr>
        <w:spacing w:after="0" w:line="240" w:lineRule="auto"/>
      </w:pPr>
      <w:r>
        <w:separator/>
      </w:r>
    </w:p>
  </w:endnote>
  <w:endnote w:type="continuationSeparator" w:id="0">
    <w:p w14:paraId="08776CCC" w14:textId="77777777" w:rsidR="00147224" w:rsidRDefault="00147224" w:rsidP="0014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dvGulliv-R">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600B" w14:textId="77777777" w:rsidR="00147224" w:rsidRDefault="00147224" w:rsidP="00147224">
      <w:pPr>
        <w:spacing w:after="0" w:line="240" w:lineRule="auto"/>
      </w:pPr>
      <w:r>
        <w:separator/>
      </w:r>
    </w:p>
  </w:footnote>
  <w:footnote w:type="continuationSeparator" w:id="0">
    <w:p w14:paraId="6E68C698" w14:textId="77777777" w:rsidR="00147224" w:rsidRDefault="00147224" w:rsidP="00147224">
      <w:pPr>
        <w:spacing w:after="0" w:line="240" w:lineRule="auto"/>
      </w:pPr>
      <w:r>
        <w:continuationSeparator/>
      </w:r>
    </w:p>
  </w:footnote>
  <w:footnote w:id="1">
    <w:p w14:paraId="1A22F98E" w14:textId="1E0AF746" w:rsidR="00147224" w:rsidRPr="00665303" w:rsidRDefault="00147224" w:rsidP="00C856F0">
      <w:pPr>
        <w:pStyle w:val="FootnoteText"/>
        <w:jc w:val="both"/>
        <w:rPr>
          <w:sz w:val="16"/>
          <w:szCs w:val="16"/>
        </w:rPr>
      </w:pPr>
      <w:r w:rsidRPr="00665303">
        <w:rPr>
          <w:rStyle w:val="FootnoteReference"/>
          <w:sz w:val="22"/>
          <w:szCs w:val="22"/>
        </w:rPr>
        <w:footnoteRef/>
      </w:r>
      <w:r w:rsidRPr="00665303">
        <w:rPr>
          <w:sz w:val="24"/>
          <w:szCs w:val="24"/>
        </w:rPr>
        <w:t xml:space="preserve"> </w:t>
      </w:r>
      <w:proofErr w:type="spellStart"/>
      <w:r w:rsidRPr="00665303">
        <w:rPr>
          <w:sz w:val="18"/>
          <w:szCs w:val="18"/>
        </w:rPr>
        <w:t>Kalholm</w:t>
      </w:r>
      <w:proofErr w:type="spellEnd"/>
      <w:r w:rsidRPr="00665303">
        <w:rPr>
          <w:sz w:val="18"/>
          <w:szCs w:val="18"/>
        </w:rPr>
        <w:t xml:space="preserve"> F, </w:t>
      </w:r>
      <w:proofErr w:type="spellStart"/>
      <w:r w:rsidRPr="00665303">
        <w:rPr>
          <w:sz w:val="18"/>
          <w:szCs w:val="18"/>
        </w:rPr>
        <w:t>Grzanka</w:t>
      </w:r>
      <w:proofErr w:type="spellEnd"/>
      <w:r w:rsidRPr="00665303">
        <w:rPr>
          <w:sz w:val="18"/>
          <w:szCs w:val="18"/>
        </w:rPr>
        <w:t xml:space="preserve"> L, Traneus E, </w:t>
      </w:r>
      <w:proofErr w:type="spellStart"/>
      <w:r w:rsidRPr="00665303">
        <w:rPr>
          <w:sz w:val="18"/>
          <w:szCs w:val="18"/>
        </w:rPr>
        <w:t>Bassler</w:t>
      </w:r>
      <w:proofErr w:type="spellEnd"/>
      <w:r w:rsidRPr="00665303">
        <w:rPr>
          <w:sz w:val="18"/>
          <w:szCs w:val="18"/>
        </w:rPr>
        <w:t xml:space="preserve"> N. A systematic review on the usage of averaged LET in radiation biology for particle therapy. Radiotherapy and Oncology. 2021 Aug </w:t>
      </w:r>
      <w:proofErr w:type="gramStart"/>
      <w:r w:rsidRPr="00665303">
        <w:rPr>
          <w:sz w:val="18"/>
          <w:szCs w:val="18"/>
        </w:rPr>
        <w:t>1;161:211</w:t>
      </w:r>
      <w:proofErr w:type="gramEnd"/>
      <w:r w:rsidRPr="00665303">
        <w:rPr>
          <w:sz w:val="18"/>
          <w:szCs w:val="18"/>
        </w:rPr>
        <w:t>-21.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32D9"/>
    <w:multiLevelType w:val="hybridMultilevel"/>
    <w:tmpl w:val="196EF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196E"/>
    <w:multiLevelType w:val="hybridMultilevel"/>
    <w:tmpl w:val="133C4E4C"/>
    <w:lvl w:ilvl="0" w:tplc="F2485A2E">
      <w:start w:val="1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45D51"/>
    <w:multiLevelType w:val="hybridMultilevel"/>
    <w:tmpl w:val="AF04972C"/>
    <w:lvl w:ilvl="0" w:tplc="852ECC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7B44"/>
    <w:multiLevelType w:val="hybridMultilevel"/>
    <w:tmpl w:val="89806106"/>
    <w:lvl w:ilvl="0" w:tplc="ACACDA7A">
      <w:start w:val="1"/>
      <w:numFmt w:val="bullet"/>
      <w:lvlText w:val="-"/>
      <w:lvlJc w:val="left"/>
      <w:pPr>
        <w:tabs>
          <w:tab w:val="num" w:pos="720"/>
        </w:tabs>
        <w:ind w:left="720" w:hanging="360"/>
      </w:pPr>
      <w:rPr>
        <w:rFonts w:ascii="Times New Roman" w:hAnsi="Times New Roman" w:hint="default"/>
      </w:rPr>
    </w:lvl>
    <w:lvl w:ilvl="1" w:tplc="2464827A" w:tentative="1">
      <w:start w:val="1"/>
      <w:numFmt w:val="bullet"/>
      <w:lvlText w:val="-"/>
      <w:lvlJc w:val="left"/>
      <w:pPr>
        <w:tabs>
          <w:tab w:val="num" w:pos="1440"/>
        </w:tabs>
        <w:ind w:left="1440" w:hanging="360"/>
      </w:pPr>
      <w:rPr>
        <w:rFonts w:ascii="Times New Roman" w:hAnsi="Times New Roman" w:hint="default"/>
      </w:rPr>
    </w:lvl>
    <w:lvl w:ilvl="2" w:tplc="EF203EC4" w:tentative="1">
      <w:start w:val="1"/>
      <w:numFmt w:val="bullet"/>
      <w:lvlText w:val="-"/>
      <w:lvlJc w:val="left"/>
      <w:pPr>
        <w:tabs>
          <w:tab w:val="num" w:pos="2160"/>
        </w:tabs>
        <w:ind w:left="2160" w:hanging="360"/>
      </w:pPr>
      <w:rPr>
        <w:rFonts w:ascii="Times New Roman" w:hAnsi="Times New Roman" w:hint="default"/>
      </w:rPr>
    </w:lvl>
    <w:lvl w:ilvl="3" w:tplc="3C8AE47A" w:tentative="1">
      <w:start w:val="1"/>
      <w:numFmt w:val="bullet"/>
      <w:lvlText w:val="-"/>
      <w:lvlJc w:val="left"/>
      <w:pPr>
        <w:tabs>
          <w:tab w:val="num" w:pos="2880"/>
        </w:tabs>
        <w:ind w:left="2880" w:hanging="360"/>
      </w:pPr>
      <w:rPr>
        <w:rFonts w:ascii="Times New Roman" w:hAnsi="Times New Roman" w:hint="default"/>
      </w:rPr>
    </w:lvl>
    <w:lvl w:ilvl="4" w:tplc="B66AAA46" w:tentative="1">
      <w:start w:val="1"/>
      <w:numFmt w:val="bullet"/>
      <w:lvlText w:val="-"/>
      <w:lvlJc w:val="left"/>
      <w:pPr>
        <w:tabs>
          <w:tab w:val="num" w:pos="3600"/>
        </w:tabs>
        <w:ind w:left="3600" w:hanging="360"/>
      </w:pPr>
      <w:rPr>
        <w:rFonts w:ascii="Times New Roman" w:hAnsi="Times New Roman" w:hint="default"/>
      </w:rPr>
    </w:lvl>
    <w:lvl w:ilvl="5" w:tplc="C206E566" w:tentative="1">
      <w:start w:val="1"/>
      <w:numFmt w:val="bullet"/>
      <w:lvlText w:val="-"/>
      <w:lvlJc w:val="left"/>
      <w:pPr>
        <w:tabs>
          <w:tab w:val="num" w:pos="4320"/>
        </w:tabs>
        <w:ind w:left="4320" w:hanging="360"/>
      </w:pPr>
      <w:rPr>
        <w:rFonts w:ascii="Times New Roman" w:hAnsi="Times New Roman" w:hint="default"/>
      </w:rPr>
    </w:lvl>
    <w:lvl w:ilvl="6" w:tplc="357AF5D2" w:tentative="1">
      <w:start w:val="1"/>
      <w:numFmt w:val="bullet"/>
      <w:lvlText w:val="-"/>
      <w:lvlJc w:val="left"/>
      <w:pPr>
        <w:tabs>
          <w:tab w:val="num" w:pos="5040"/>
        </w:tabs>
        <w:ind w:left="5040" w:hanging="360"/>
      </w:pPr>
      <w:rPr>
        <w:rFonts w:ascii="Times New Roman" w:hAnsi="Times New Roman" w:hint="default"/>
      </w:rPr>
    </w:lvl>
    <w:lvl w:ilvl="7" w:tplc="07EC466A" w:tentative="1">
      <w:start w:val="1"/>
      <w:numFmt w:val="bullet"/>
      <w:lvlText w:val="-"/>
      <w:lvlJc w:val="left"/>
      <w:pPr>
        <w:tabs>
          <w:tab w:val="num" w:pos="5760"/>
        </w:tabs>
        <w:ind w:left="5760" w:hanging="360"/>
      </w:pPr>
      <w:rPr>
        <w:rFonts w:ascii="Times New Roman" w:hAnsi="Times New Roman" w:hint="default"/>
      </w:rPr>
    </w:lvl>
    <w:lvl w:ilvl="8" w:tplc="A2ECE75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0E264B"/>
    <w:multiLevelType w:val="hybridMultilevel"/>
    <w:tmpl w:val="B0B2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70877"/>
    <w:multiLevelType w:val="hybridMultilevel"/>
    <w:tmpl w:val="BC7EE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F3E82"/>
    <w:multiLevelType w:val="hybridMultilevel"/>
    <w:tmpl w:val="1CCE8264"/>
    <w:lvl w:ilvl="0" w:tplc="5A9226CE">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D1CE6"/>
    <w:multiLevelType w:val="multilevel"/>
    <w:tmpl w:val="940AB5F4"/>
    <w:lvl w:ilvl="0">
      <w:start w:val="1"/>
      <w:numFmt w:val="decimal"/>
      <w:pStyle w:val="Style1"/>
      <w:lvlText w:val="%1."/>
      <w:lvlJc w:val="left"/>
      <w:pPr>
        <w:ind w:left="360" w:hanging="360"/>
      </w:pPr>
    </w:lvl>
    <w:lvl w:ilvl="1">
      <w:start w:val="1"/>
      <w:numFmt w:val="decimal"/>
      <w:pStyle w:val="Style2"/>
      <w:lvlText w:val="%1.%2."/>
      <w:lvlJc w:val="left"/>
      <w:pPr>
        <w:ind w:left="792" w:hanging="432"/>
      </w:pPr>
    </w:lvl>
    <w:lvl w:ilvl="2">
      <w:start w:val="1"/>
      <w:numFmt w:val="decimal"/>
      <w:pStyle w:val="Sty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35328C"/>
    <w:multiLevelType w:val="hybridMultilevel"/>
    <w:tmpl w:val="A802D3F2"/>
    <w:lvl w:ilvl="0" w:tplc="A3488176">
      <w:start w:val="1"/>
      <w:numFmt w:val="decimal"/>
      <w:lvlText w:val="%1."/>
      <w:lvlJc w:val="left"/>
      <w:pPr>
        <w:tabs>
          <w:tab w:val="num" w:pos="720"/>
        </w:tabs>
        <w:ind w:left="720" w:hanging="360"/>
      </w:pPr>
    </w:lvl>
    <w:lvl w:ilvl="1" w:tplc="F77CFB8C" w:tentative="1">
      <w:start w:val="1"/>
      <w:numFmt w:val="decimal"/>
      <w:lvlText w:val="%2."/>
      <w:lvlJc w:val="left"/>
      <w:pPr>
        <w:tabs>
          <w:tab w:val="num" w:pos="1440"/>
        </w:tabs>
        <w:ind w:left="1440" w:hanging="360"/>
      </w:pPr>
    </w:lvl>
    <w:lvl w:ilvl="2" w:tplc="DED668BE" w:tentative="1">
      <w:start w:val="1"/>
      <w:numFmt w:val="decimal"/>
      <w:lvlText w:val="%3."/>
      <w:lvlJc w:val="left"/>
      <w:pPr>
        <w:tabs>
          <w:tab w:val="num" w:pos="2160"/>
        </w:tabs>
        <w:ind w:left="2160" w:hanging="360"/>
      </w:pPr>
    </w:lvl>
    <w:lvl w:ilvl="3" w:tplc="D1FE7B3A" w:tentative="1">
      <w:start w:val="1"/>
      <w:numFmt w:val="decimal"/>
      <w:lvlText w:val="%4."/>
      <w:lvlJc w:val="left"/>
      <w:pPr>
        <w:tabs>
          <w:tab w:val="num" w:pos="2880"/>
        </w:tabs>
        <w:ind w:left="2880" w:hanging="360"/>
      </w:pPr>
    </w:lvl>
    <w:lvl w:ilvl="4" w:tplc="050601A2" w:tentative="1">
      <w:start w:val="1"/>
      <w:numFmt w:val="decimal"/>
      <w:lvlText w:val="%5."/>
      <w:lvlJc w:val="left"/>
      <w:pPr>
        <w:tabs>
          <w:tab w:val="num" w:pos="3600"/>
        </w:tabs>
        <w:ind w:left="3600" w:hanging="360"/>
      </w:pPr>
    </w:lvl>
    <w:lvl w:ilvl="5" w:tplc="EDB287D6" w:tentative="1">
      <w:start w:val="1"/>
      <w:numFmt w:val="decimal"/>
      <w:lvlText w:val="%6."/>
      <w:lvlJc w:val="left"/>
      <w:pPr>
        <w:tabs>
          <w:tab w:val="num" w:pos="4320"/>
        </w:tabs>
        <w:ind w:left="4320" w:hanging="360"/>
      </w:pPr>
    </w:lvl>
    <w:lvl w:ilvl="6" w:tplc="9C9A717C" w:tentative="1">
      <w:start w:val="1"/>
      <w:numFmt w:val="decimal"/>
      <w:lvlText w:val="%7."/>
      <w:lvlJc w:val="left"/>
      <w:pPr>
        <w:tabs>
          <w:tab w:val="num" w:pos="5040"/>
        </w:tabs>
        <w:ind w:left="5040" w:hanging="360"/>
      </w:pPr>
    </w:lvl>
    <w:lvl w:ilvl="7" w:tplc="FBC2E7A2" w:tentative="1">
      <w:start w:val="1"/>
      <w:numFmt w:val="decimal"/>
      <w:lvlText w:val="%8."/>
      <w:lvlJc w:val="left"/>
      <w:pPr>
        <w:tabs>
          <w:tab w:val="num" w:pos="5760"/>
        </w:tabs>
        <w:ind w:left="5760" w:hanging="360"/>
      </w:pPr>
    </w:lvl>
    <w:lvl w:ilvl="8" w:tplc="DB70E90C" w:tentative="1">
      <w:start w:val="1"/>
      <w:numFmt w:val="decimal"/>
      <w:lvlText w:val="%9."/>
      <w:lvlJc w:val="left"/>
      <w:pPr>
        <w:tabs>
          <w:tab w:val="num" w:pos="6480"/>
        </w:tabs>
        <w:ind w:left="6480" w:hanging="360"/>
      </w:pPr>
    </w:lvl>
  </w:abstractNum>
  <w:abstractNum w:abstractNumId="9" w15:restartNumberingAfterBreak="0">
    <w:nsid w:val="4C616B63"/>
    <w:multiLevelType w:val="hybridMultilevel"/>
    <w:tmpl w:val="BE3690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3874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5904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1426FC"/>
    <w:multiLevelType w:val="multilevel"/>
    <w:tmpl w:val="7416CE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3" w15:restartNumberingAfterBreak="0">
    <w:nsid w:val="51457D21"/>
    <w:multiLevelType w:val="hybridMultilevel"/>
    <w:tmpl w:val="F7E0E6E0"/>
    <w:lvl w:ilvl="0" w:tplc="CA8CE1A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8D35F74"/>
    <w:multiLevelType w:val="multilevel"/>
    <w:tmpl w:val="7416C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BD459A"/>
    <w:multiLevelType w:val="multilevel"/>
    <w:tmpl w:val="0E88F6DA"/>
    <w:lvl w:ilvl="0">
      <w:start w:val="1"/>
      <w:numFmt w:val="upperLetter"/>
      <w:pStyle w:val="Heading1"/>
      <w:lvlText w:val="%1."/>
      <w:lvlJc w:val="left"/>
      <w:pPr>
        <w:ind w:left="0" w:firstLine="0"/>
      </w:pPr>
      <w:rPr>
        <w:rFonts w:hint="default"/>
      </w:rPr>
    </w:lvl>
    <w:lvl w:ilvl="1">
      <w:start w:val="1"/>
      <w:numFmt w:val="decimal"/>
      <w:pStyle w:val="Heading2"/>
      <w:lvlText w:val="%2."/>
      <w:lvlJc w:val="left"/>
      <w:pPr>
        <w:ind w:left="720" w:firstLine="0"/>
      </w:pPr>
      <w:rPr>
        <w:rFonts w:hint="default"/>
      </w:rPr>
    </w:lvl>
    <w:lvl w:ilvl="2">
      <w:start w:val="1"/>
      <w:numFmt w:val="lowerRoman"/>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6" w15:restartNumberingAfterBreak="0">
    <w:nsid w:val="71691EFD"/>
    <w:multiLevelType w:val="multilevel"/>
    <w:tmpl w:val="AD8C87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A4F0C75"/>
    <w:multiLevelType w:val="hybridMultilevel"/>
    <w:tmpl w:val="F8183FBC"/>
    <w:lvl w:ilvl="0" w:tplc="C574AD8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6"/>
  </w:num>
  <w:num w:numId="4">
    <w:abstractNumId w:val="7"/>
  </w:num>
  <w:num w:numId="5">
    <w:abstractNumId w:val="1"/>
  </w:num>
  <w:num w:numId="6">
    <w:abstractNumId w:val="8"/>
  </w:num>
  <w:num w:numId="7">
    <w:abstractNumId w:val="3"/>
  </w:num>
  <w:num w:numId="8">
    <w:abstractNumId w:val="4"/>
  </w:num>
  <w:num w:numId="9">
    <w:abstractNumId w:val="0"/>
  </w:num>
  <w:num w:numId="10">
    <w:abstractNumId w:val="2"/>
  </w:num>
  <w:num w:numId="11">
    <w:abstractNumId w:val="11"/>
  </w:num>
  <w:num w:numId="12">
    <w:abstractNumId w:val="17"/>
  </w:num>
  <w:num w:numId="13">
    <w:abstractNumId w:val="6"/>
  </w:num>
  <w:num w:numId="14">
    <w:abstractNumId w:val="13"/>
  </w:num>
  <w:num w:numId="15">
    <w:abstractNumId w:val="14"/>
  </w:num>
  <w:num w:numId="16">
    <w:abstractNumId w:val="5"/>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39"/>
    <w:rsid w:val="00002538"/>
    <w:rsid w:val="000368E3"/>
    <w:rsid w:val="00057666"/>
    <w:rsid w:val="000D73A0"/>
    <w:rsid w:val="00147224"/>
    <w:rsid w:val="00156E64"/>
    <w:rsid w:val="00165D85"/>
    <w:rsid w:val="00170AEA"/>
    <w:rsid w:val="001E41CC"/>
    <w:rsid w:val="001F30D9"/>
    <w:rsid w:val="001F5B8E"/>
    <w:rsid w:val="002416DE"/>
    <w:rsid w:val="00294700"/>
    <w:rsid w:val="003013F5"/>
    <w:rsid w:val="00365558"/>
    <w:rsid w:val="00365B64"/>
    <w:rsid w:val="00377F27"/>
    <w:rsid w:val="00405681"/>
    <w:rsid w:val="004B1A57"/>
    <w:rsid w:val="004C6DF1"/>
    <w:rsid w:val="004D599B"/>
    <w:rsid w:val="004D59CB"/>
    <w:rsid w:val="00516EF2"/>
    <w:rsid w:val="00551932"/>
    <w:rsid w:val="00556574"/>
    <w:rsid w:val="005D50BC"/>
    <w:rsid w:val="00607FA4"/>
    <w:rsid w:val="00625961"/>
    <w:rsid w:val="00642AB3"/>
    <w:rsid w:val="00665303"/>
    <w:rsid w:val="00667239"/>
    <w:rsid w:val="0067729B"/>
    <w:rsid w:val="006D4F8A"/>
    <w:rsid w:val="006F2738"/>
    <w:rsid w:val="00712532"/>
    <w:rsid w:val="00731C9A"/>
    <w:rsid w:val="00750CDB"/>
    <w:rsid w:val="007633CD"/>
    <w:rsid w:val="00901AA3"/>
    <w:rsid w:val="009B01EE"/>
    <w:rsid w:val="009D1331"/>
    <w:rsid w:val="00A710A6"/>
    <w:rsid w:val="00A72847"/>
    <w:rsid w:val="00A77A1C"/>
    <w:rsid w:val="00B14371"/>
    <w:rsid w:val="00B24A0D"/>
    <w:rsid w:val="00B24E50"/>
    <w:rsid w:val="00B5072A"/>
    <w:rsid w:val="00B548D1"/>
    <w:rsid w:val="00BC1C92"/>
    <w:rsid w:val="00BC31AF"/>
    <w:rsid w:val="00C856F0"/>
    <w:rsid w:val="00CB166F"/>
    <w:rsid w:val="00CC169A"/>
    <w:rsid w:val="00D23F9C"/>
    <w:rsid w:val="00D47AE3"/>
    <w:rsid w:val="00DA64CC"/>
    <w:rsid w:val="00DD7A4B"/>
    <w:rsid w:val="00DF25B1"/>
    <w:rsid w:val="00E43660"/>
    <w:rsid w:val="00F147A8"/>
    <w:rsid w:val="00F22A73"/>
    <w:rsid w:val="00F334A9"/>
    <w:rsid w:val="00F7640A"/>
    <w:rsid w:val="00F95EED"/>
    <w:rsid w:val="00FD1556"/>
    <w:rsid w:val="00FE1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9887"/>
  <w15:chartTrackingRefBased/>
  <w15:docId w15:val="{CF21F1CD-5806-48E4-8807-39CBC5A5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532"/>
  </w:style>
  <w:style w:type="paragraph" w:styleId="Heading1">
    <w:name w:val="heading 1"/>
    <w:basedOn w:val="Normal"/>
    <w:next w:val="Normal"/>
    <w:link w:val="Heading1Char"/>
    <w:uiPriority w:val="9"/>
    <w:qFormat/>
    <w:rsid w:val="00712532"/>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2532"/>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2532"/>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12532"/>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12532"/>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12532"/>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12532"/>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1253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253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5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25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1253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1253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1253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1253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1253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125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12532"/>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712532"/>
    <w:rPr>
      <w:sz w:val="16"/>
      <w:szCs w:val="16"/>
    </w:rPr>
  </w:style>
  <w:style w:type="paragraph" w:styleId="CommentText">
    <w:name w:val="annotation text"/>
    <w:basedOn w:val="Normal"/>
    <w:link w:val="CommentTextChar"/>
    <w:uiPriority w:val="99"/>
    <w:unhideWhenUsed/>
    <w:rsid w:val="00712532"/>
    <w:pPr>
      <w:spacing w:line="240" w:lineRule="auto"/>
    </w:pPr>
    <w:rPr>
      <w:sz w:val="20"/>
      <w:szCs w:val="20"/>
    </w:rPr>
  </w:style>
  <w:style w:type="character" w:customStyle="1" w:styleId="CommentTextChar">
    <w:name w:val="Comment Text Char"/>
    <w:basedOn w:val="DefaultParagraphFont"/>
    <w:link w:val="CommentText"/>
    <w:uiPriority w:val="99"/>
    <w:rsid w:val="00712532"/>
    <w:rPr>
      <w:sz w:val="20"/>
      <w:szCs w:val="20"/>
    </w:rPr>
  </w:style>
  <w:style w:type="paragraph" w:customStyle="1" w:styleId="Normal1">
    <w:name w:val="Normal1"/>
    <w:basedOn w:val="Normal"/>
    <w:link w:val="Normal1Char"/>
    <w:qFormat/>
    <w:rsid w:val="00712532"/>
    <w:rPr>
      <w:rFonts w:ascii="Arial" w:hAnsi="Arial" w:cs="Arial"/>
      <w:color w:val="222222"/>
      <w:sz w:val="20"/>
      <w:szCs w:val="20"/>
      <w:shd w:val="clear" w:color="auto" w:fill="FFFFFF"/>
    </w:rPr>
  </w:style>
  <w:style w:type="character" w:customStyle="1" w:styleId="Normal1Char">
    <w:name w:val="Normal1 Char"/>
    <w:basedOn w:val="DefaultParagraphFont"/>
    <w:link w:val="Normal1"/>
    <w:rsid w:val="00712532"/>
    <w:rPr>
      <w:rFonts w:ascii="Arial" w:hAnsi="Arial" w:cs="Arial"/>
      <w:color w:val="222222"/>
      <w:sz w:val="20"/>
      <w:szCs w:val="20"/>
    </w:rPr>
  </w:style>
  <w:style w:type="paragraph" w:styleId="Title">
    <w:name w:val="Title"/>
    <w:basedOn w:val="Normal"/>
    <w:next w:val="Normal"/>
    <w:link w:val="TitleChar"/>
    <w:uiPriority w:val="10"/>
    <w:qFormat/>
    <w:rsid w:val="001472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224"/>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147224"/>
    <w:pPr>
      <w:ind w:left="720"/>
      <w:contextualSpacing/>
    </w:pPr>
  </w:style>
  <w:style w:type="paragraph" w:customStyle="1" w:styleId="Style2">
    <w:name w:val="Style2"/>
    <w:basedOn w:val="ListParagraph"/>
    <w:link w:val="Style2Char"/>
    <w:qFormat/>
    <w:rsid w:val="00147224"/>
    <w:pPr>
      <w:numPr>
        <w:ilvl w:val="1"/>
        <w:numId w:val="4"/>
      </w:numPr>
      <w:tabs>
        <w:tab w:val="num" w:pos="360"/>
      </w:tabs>
      <w:ind w:left="720" w:firstLine="0"/>
    </w:pPr>
    <w:rPr>
      <w:rFonts w:ascii="Arial" w:hAnsi="Arial" w:cs="Arial"/>
      <w:b/>
      <w:bCs/>
      <w:color w:val="222222"/>
      <w:sz w:val="20"/>
      <w:szCs w:val="20"/>
      <w:shd w:val="clear" w:color="auto" w:fill="FFFFFF"/>
    </w:rPr>
  </w:style>
  <w:style w:type="paragraph" w:customStyle="1" w:styleId="Style1">
    <w:name w:val="Style1"/>
    <w:basedOn w:val="ListParagraph"/>
    <w:link w:val="Style1Char"/>
    <w:qFormat/>
    <w:rsid w:val="00147224"/>
    <w:pPr>
      <w:numPr>
        <w:numId w:val="4"/>
      </w:numPr>
    </w:pPr>
    <w:rPr>
      <w:rFonts w:ascii="Arial" w:hAnsi="Arial" w:cs="Arial"/>
      <w:b/>
      <w:bCs/>
      <w:color w:val="222222"/>
      <w:sz w:val="20"/>
      <w:szCs w:val="20"/>
      <w:shd w:val="clear" w:color="auto" w:fill="FFFFFF"/>
    </w:rPr>
  </w:style>
  <w:style w:type="character" w:customStyle="1" w:styleId="ListParagraphChar">
    <w:name w:val="List Paragraph Char"/>
    <w:basedOn w:val="DefaultParagraphFont"/>
    <w:link w:val="ListParagraph"/>
    <w:uiPriority w:val="34"/>
    <w:rsid w:val="00147224"/>
  </w:style>
  <w:style w:type="character" w:customStyle="1" w:styleId="Style1Char">
    <w:name w:val="Style1 Char"/>
    <w:basedOn w:val="ListParagraphChar"/>
    <w:link w:val="Style1"/>
    <w:rsid w:val="00147224"/>
    <w:rPr>
      <w:rFonts w:ascii="Arial" w:hAnsi="Arial" w:cs="Arial"/>
      <w:b/>
      <w:bCs/>
      <w:color w:val="222222"/>
      <w:sz w:val="20"/>
      <w:szCs w:val="20"/>
    </w:rPr>
  </w:style>
  <w:style w:type="paragraph" w:customStyle="1" w:styleId="Style3">
    <w:name w:val="Style3"/>
    <w:basedOn w:val="ListParagraph"/>
    <w:link w:val="Style3Char"/>
    <w:qFormat/>
    <w:rsid w:val="00147224"/>
    <w:pPr>
      <w:numPr>
        <w:ilvl w:val="2"/>
        <w:numId w:val="4"/>
      </w:numPr>
      <w:tabs>
        <w:tab w:val="num" w:pos="360"/>
      </w:tabs>
      <w:ind w:left="720" w:firstLine="0"/>
    </w:pPr>
    <w:rPr>
      <w:rFonts w:ascii="Arial" w:hAnsi="Arial" w:cs="Arial"/>
      <w:i/>
      <w:iCs/>
      <w:color w:val="222222"/>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147224"/>
    <w:rPr>
      <w:b/>
      <w:bCs/>
    </w:rPr>
  </w:style>
  <w:style w:type="character" w:customStyle="1" w:styleId="CommentSubjectChar">
    <w:name w:val="Comment Subject Char"/>
    <w:basedOn w:val="CommentTextChar"/>
    <w:link w:val="CommentSubject"/>
    <w:uiPriority w:val="99"/>
    <w:semiHidden/>
    <w:rsid w:val="00147224"/>
    <w:rPr>
      <w:b/>
      <w:bCs/>
      <w:sz w:val="20"/>
      <w:szCs w:val="20"/>
    </w:rPr>
  </w:style>
  <w:style w:type="paragraph" w:styleId="FootnoteText">
    <w:name w:val="footnote text"/>
    <w:basedOn w:val="Normal"/>
    <w:link w:val="FootnoteTextChar"/>
    <w:uiPriority w:val="99"/>
    <w:semiHidden/>
    <w:unhideWhenUsed/>
    <w:rsid w:val="001472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7224"/>
    <w:rPr>
      <w:sz w:val="20"/>
      <w:szCs w:val="20"/>
    </w:rPr>
  </w:style>
  <w:style w:type="character" w:styleId="FootnoteReference">
    <w:name w:val="footnote reference"/>
    <w:basedOn w:val="DefaultParagraphFont"/>
    <w:uiPriority w:val="99"/>
    <w:semiHidden/>
    <w:unhideWhenUsed/>
    <w:rsid w:val="00147224"/>
    <w:rPr>
      <w:vertAlign w:val="superscript"/>
    </w:rPr>
  </w:style>
  <w:style w:type="character" w:styleId="Hyperlink">
    <w:name w:val="Hyperlink"/>
    <w:basedOn w:val="DefaultParagraphFont"/>
    <w:uiPriority w:val="99"/>
    <w:unhideWhenUsed/>
    <w:rsid w:val="00147224"/>
    <w:rPr>
      <w:color w:val="0563C1" w:themeColor="hyperlink"/>
      <w:u w:val="single"/>
    </w:rPr>
  </w:style>
  <w:style w:type="character" w:styleId="UnresolvedMention">
    <w:name w:val="Unresolved Mention"/>
    <w:basedOn w:val="DefaultParagraphFont"/>
    <w:uiPriority w:val="99"/>
    <w:semiHidden/>
    <w:unhideWhenUsed/>
    <w:rsid w:val="00147224"/>
    <w:rPr>
      <w:color w:val="605E5C"/>
      <w:shd w:val="clear" w:color="auto" w:fill="E1DFDD"/>
    </w:rPr>
  </w:style>
  <w:style w:type="character" w:styleId="FollowedHyperlink">
    <w:name w:val="FollowedHyperlink"/>
    <w:basedOn w:val="DefaultParagraphFont"/>
    <w:uiPriority w:val="99"/>
    <w:semiHidden/>
    <w:unhideWhenUsed/>
    <w:rsid w:val="00147224"/>
    <w:rPr>
      <w:color w:val="954F72" w:themeColor="followedHyperlink"/>
      <w:u w:val="single"/>
    </w:rPr>
  </w:style>
  <w:style w:type="paragraph" w:styleId="NormalWeb">
    <w:name w:val="Normal (Web)"/>
    <w:basedOn w:val="Normal"/>
    <w:uiPriority w:val="99"/>
    <w:unhideWhenUsed/>
    <w:rsid w:val="0014722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47224"/>
    <w:rPr>
      <w:color w:val="808080"/>
    </w:rPr>
  </w:style>
  <w:style w:type="paragraph" w:styleId="Header">
    <w:name w:val="header"/>
    <w:basedOn w:val="Normal"/>
    <w:link w:val="HeaderChar"/>
    <w:uiPriority w:val="99"/>
    <w:unhideWhenUsed/>
    <w:rsid w:val="00147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224"/>
  </w:style>
  <w:style w:type="paragraph" w:styleId="Footer">
    <w:name w:val="footer"/>
    <w:basedOn w:val="Normal"/>
    <w:link w:val="FooterChar"/>
    <w:uiPriority w:val="99"/>
    <w:unhideWhenUsed/>
    <w:rsid w:val="00147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224"/>
  </w:style>
  <w:style w:type="character" w:styleId="SubtleEmphasis">
    <w:name w:val="Subtle Emphasis"/>
    <w:basedOn w:val="DefaultParagraphFont"/>
    <w:uiPriority w:val="19"/>
    <w:qFormat/>
    <w:rsid w:val="00147224"/>
    <w:rPr>
      <w:i/>
      <w:iCs/>
      <w:color w:val="404040" w:themeColor="text1" w:themeTint="BF"/>
    </w:rPr>
  </w:style>
  <w:style w:type="character" w:customStyle="1" w:styleId="Style2Char">
    <w:name w:val="Style2 Char"/>
    <w:basedOn w:val="ListParagraphChar"/>
    <w:link w:val="Style2"/>
    <w:rsid w:val="00147224"/>
    <w:rPr>
      <w:rFonts w:ascii="Arial" w:hAnsi="Arial" w:cs="Arial"/>
      <w:b/>
      <w:bCs/>
      <w:color w:val="222222"/>
      <w:sz w:val="20"/>
      <w:szCs w:val="20"/>
    </w:rPr>
  </w:style>
  <w:style w:type="paragraph" w:customStyle="1" w:styleId="Title1">
    <w:name w:val="Title1"/>
    <w:basedOn w:val="Normal"/>
    <w:link w:val="Title1Char"/>
    <w:qFormat/>
    <w:rsid w:val="00147224"/>
    <w:pPr>
      <w:jc w:val="center"/>
    </w:pPr>
    <w:rPr>
      <w:rFonts w:ascii="Arial" w:hAnsi="Arial" w:cs="Arial"/>
      <w:b/>
      <w:bCs/>
      <w:color w:val="222222"/>
      <w:sz w:val="24"/>
      <w:szCs w:val="24"/>
      <w:shd w:val="clear" w:color="auto" w:fill="FFFFFF"/>
    </w:rPr>
  </w:style>
  <w:style w:type="character" w:customStyle="1" w:styleId="Title1Char">
    <w:name w:val="Title1 Char"/>
    <w:basedOn w:val="DefaultParagraphFont"/>
    <w:link w:val="Title1"/>
    <w:rsid w:val="00147224"/>
    <w:rPr>
      <w:rFonts w:ascii="Arial" w:hAnsi="Arial" w:cs="Arial"/>
      <w:b/>
      <w:bCs/>
      <w:color w:val="222222"/>
      <w:sz w:val="24"/>
      <w:szCs w:val="24"/>
    </w:rPr>
  </w:style>
  <w:style w:type="paragraph" w:customStyle="1" w:styleId="References">
    <w:name w:val="References"/>
    <w:basedOn w:val="Normal"/>
    <w:link w:val="ReferencesChar"/>
    <w:qFormat/>
    <w:rsid w:val="00147224"/>
    <w:pPr>
      <w:autoSpaceDE w:val="0"/>
      <w:autoSpaceDN w:val="0"/>
      <w:adjustRightInd w:val="0"/>
      <w:spacing w:after="0" w:line="240" w:lineRule="auto"/>
    </w:pPr>
    <w:rPr>
      <w:rFonts w:ascii="AdvGulliv-R" w:hAnsi="AdvGulliv-R" w:cs="AdvGulliv-R"/>
      <w:color w:val="000000"/>
      <w:sz w:val="19"/>
      <w:szCs w:val="19"/>
      <w:lang w:val="fr-FR"/>
    </w:rPr>
  </w:style>
  <w:style w:type="character" w:customStyle="1" w:styleId="Style3Char">
    <w:name w:val="Style3 Char"/>
    <w:basedOn w:val="ListParagraphChar"/>
    <w:link w:val="Style3"/>
    <w:rsid w:val="00147224"/>
    <w:rPr>
      <w:rFonts w:ascii="Arial" w:hAnsi="Arial" w:cs="Arial"/>
      <w:i/>
      <w:iCs/>
      <w:color w:val="222222"/>
      <w:sz w:val="20"/>
      <w:szCs w:val="20"/>
    </w:rPr>
  </w:style>
  <w:style w:type="paragraph" w:styleId="Revision">
    <w:name w:val="Revision"/>
    <w:hidden/>
    <w:uiPriority w:val="99"/>
    <w:semiHidden/>
    <w:rsid w:val="00147224"/>
    <w:pPr>
      <w:spacing w:after="0" w:line="240" w:lineRule="auto"/>
    </w:pPr>
  </w:style>
  <w:style w:type="character" w:customStyle="1" w:styleId="ReferencesChar">
    <w:name w:val="References Char"/>
    <w:basedOn w:val="DefaultParagraphFont"/>
    <w:link w:val="References"/>
    <w:rsid w:val="00147224"/>
    <w:rPr>
      <w:rFonts w:ascii="AdvGulliv-R" w:hAnsi="AdvGulliv-R" w:cs="AdvGulliv-R"/>
      <w:color w:val="000000"/>
      <w:sz w:val="19"/>
      <w:szCs w:val="19"/>
      <w:lang w:val="fr-FR"/>
    </w:rPr>
  </w:style>
  <w:style w:type="paragraph" w:styleId="Subtitle">
    <w:name w:val="Subtitle"/>
    <w:basedOn w:val="Normal"/>
    <w:next w:val="Normal"/>
    <w:link w:val="SubtitleChar"/>
    <w:uiPriority w:val="11"/>
    <w:qFormat/>
    <w:rsid w:val="0014722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47224"/>
    <w:rPr>
      <w:rFonts w:eastAsiaTheme="minorEastAsia"/>
      <w:color w:val="5A5A5A" w:themeColor="text1" w:themeTint="A5"/>
      <w:spacing w:val="15"/>
    </w:rPr>
  </w:style>
  <w:style w:type="table" w:styleId="TableGrid">
    <w:name w:val="Table Grid"/>
    <w:basedOn w:val="TableNormal"/>
    <w:uiPriority w:val="39"/>
    <w:rsid w:val="00147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472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7224"/>
    <w:rPr>
      <w:sz w:val="20"/>
      <w:szCs w:val="20"/>
    </w:rPr>
  </w:style>
  <w:style w:type="character" w:styleId="EndnoteReference">
    <w:name w:val="endnote reference"/>
    <w:basedOn w:val="DefaultParagraphFont"/>
    <w:uiPriority w:val="99"/>
    <w:semiHidden/>
    <w:unhideWhenUsed/>
    <w:rsid w:val="00147224"/>
    <w:rPr>
      <w:vertAlign w:val="superscript"/>
    </w:rPr>
  </w:style>
  <w:style w:type="table" w:styleId="PlainTable5">
    <w:name w:val="Plain Table 5"/>
    <w:basedOn w:val="TableNormal"/>
    <w:uiPriority w:val="45"/>
    <w:rsid w:val="001472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i-provider">
    <w:name w:val="ui-provider"/>
    <w:basedOn w:val="DefaultParagraphFont"/>
    <w:rsid w:val="00147224"/>
  </w:style>
  <w:style w:type="paragraph" w:styleId="Caption">
    <w:name w:val="caption"/>
    <w:basedOn w:val="Normal"/>
    <w:next w:val="Normal"/>
    <w:uiPriority w:val="35"/>
    <w:unhideWhenUsed/>
    <w:qFormat/>
    <w:rsid w:val="0014722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47224"/>
    <w:pPr>
      <w:spacing w:after="0"/>
    </w:pPr>
  </w:style>
  <w:style w:type="character" w:styleId="Strong">
    <w:name w:val="Strong"/>
    <w:basedOn w:val="DefaultParagraphFont"/>
    <w:uiPriority w:val="22"/>
    <w:qFormat/>
    <w:rsid w:val="00147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61265">
      <w:bodyDiv w:val="1"/>
      <w:marLeft w:val="0"/>
      <w:marRight w:val="0"/>
      <w:marTop w:val="0"/>
      <w:marBottom w:val="0"/>
      <w:divBdr>
        <w:top w:val="none" w:sz="0" w:space="0" w:color="auto"/>
        <w:left w:val="none" w:sz="0" w:space="0" w:color="auto"/>
        <w:bottom w:val="none" w:sz="0" w:space="0" w:color="auto"/>
        <w:right w:val="none" w:sz="0" w:space="0" w:color="auto"/>
      </w:divBdr>
    </w:div>
    <w:div w:id="1350567590">
      <w:bodyDiv w:val="1"/>
      <w:marLeft w:val="0"/>
      <w:marRight w:val="0"/>
      <w:marTop w:val="0"/>
      <w:marBottom w:val="0"/>
      <w:divBdr>
        <w:top w:val="none" w:sz="0" w:space="0" w:color="auto"/>
        <w:left w:val="none" w:sz="0" w:space="0" w:color="auto"/>
        <w:bottom w:val="none" w:sz="0" w:space="0" w:color="auto"/>
        <w:right w:val="none" w:sz="0" w:space="0" w:color="auto"/>
      </w:divBdr>
    </w:div>
    <w:div w:id="179092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DFE9B-EBBC-4CD9-A784-A7E267CB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Magrin Giulio</dc:creator>
  <cp:keywords/>
  <dc:description/>
  <cp:lastModifiedBy>Magrin Giulio</cp:lastModifiedBy>
  <cp:revision>11</cp:revision>
  <dcterms:created xsi:type="dcterms:W3CDTF">2025-08-04T08:34:00Z</dcterms:created>
  <dcterms:modified xsi:type="dcterms:W3CDTF">2025-08-04T11:47:00Z</dcterms:modified>
</cp:coreProperties>
</file>