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90A5" w14:textId="37E70ED7" w:rsidR="00147224" w:rsidRDefault="00A8607D" w:rsidP="007D4473">
      <w:pPr>
        <w:keepNext/>
        <w:keepLines/>
        <w:spacing w:before="240" w:after="0"/>
        <w:ind w:left="360"/>
        <w:jc w:val="both"/>
        <w:outlineLvl w:val="0"/>
        <w:rPr>
          <w:rFonts w:asciiTheme="majorHAnsi" w:eastAsiaTheme="majorEastAsia" w:hAnsiTheme="majorHAnsi" w:cstheme="majorBidi"/>
          <w:b/>
          <w:bCs/>
          <w:sz w:val="32"/>
          <w:szCs w:val="32"/>
        </w:rPr>
      </w:pPr>
      <w:r w:rsidRPr="00536948">
        <w:rPr>
          <w:rFonts w:asciiTheme="majorHAnsi" w:eastAsiaTheme="majorEastAsia" w:hAnsiTheme="majorHAnsi" w:cstheme="majorBidi"/>
          <w:b/>
          <w:bCs/>
          <w:sz w:val="32"/>
          <w:szCs w:val="32"/>
        </w:rPr>
        <w:t>Stochastic nature of radiation interactions in ion beam therapy</w:t>
      </w:r>
    </w:p>
    <w:p w14:paraId="3E9DD6A3" w14:textId="77777777" w:rsidR="00D03737" w:rsidRPr="00574990" w:rsidRDefault="00D03737" w:rsidP="00D03737">
      <w:pPr>
        <w:jc w:val="center"/>
        <w:rPr>
          <w:rFonts w:ascii="Calibri" w:hAnsi="Calibri" w:cs="Arial"/>
          <w:sz w:val="20"/>
          <w:szCs w:val="20"/>
          <w:shd w:val="clear" w:color="auto" w:fill="FFFFFF"/>
        </w:rPr>
      </w:pPr>
      <w:r>
        <w:rPr>
          <w:rFonts w:ascii="Calibri" w:hAnsi="Calibri" w:cs="Arial"/>
          <w:sz w:val="20"/>
          <w:szCs w:val="20"/>
          <w:shd w:val="clear" w:color="auto" w:fill="FFFFFF"/>
        </w:rPr>
        <w:t>(A</w:t>
      </w:r>
      <w:r w:rsidRPr="00574990">
        <w:rPr>
          <w:rFonts w:ascii="Calibri" w:hAnsi="Calibri" w:cs="Arial"/>
          <w:sz w:val="20"/>
          <w:szCs w:val="20"/>
          <w:shd w:val="clear" w:color="auto" w:fill="FFFFFF"/>
        </w:rPr>
        <w:t>uthorships</w:t>
      </w:r>
      <w:r>
        <w:rPr>
          <w:rFonts w:ascii="Calibri" w:hAnsi="Calibri" w:cs="Arial"/>
          <w:sz w:val="20"/>
          <w:szCs w:val="20"/>
          <w:shd w:val="clear" w:color="auto" w:fill="FFFFFF"/>
        </w:rPr>
        <w:t xml:space="preserve"> and date are</w:t>
      </w:r>
      <w:r w:rsidRPr="00574990">
        <w:rPr>
          <w:rFonts w:ascii="Calibri" w:hAnsi="Calibri" w:cs="Arial"/>
          <w:sz w:val="20"/>
          <w:szCs w:val="20"/>
          <w:shd w:val="clear" w:color="auto" w:fill="FFFFFF"/>
        </w:rPr>
        <w:t xml:space="preserve"> </w:t>
      </w:r>
      <w:r>
        <w:rPr>
          <w:rFonts w:ascii="Calibri" w:hAnsi="Calibri" w:cs="Arial"/>
          <w:sz w:val="20"/>
          <w:szCs w:val="20"/>
          <w:shd w:val="clear" w:color="auto" w:fill="FFFFFF"/>
        </w:rPr>
        <w:t xml:space="preserve">indicated in the table </w:t>
      </w:r>
      <w:r w:rsidRPr="00574990">
        <w:rPr>
          <w:rFonts w:ascii="Calibri" w:hAnsi="Calibri" w:cs="Arial"/>
          <w:sz w:val="20"/>
          <w:szCs w:val="20"/>
          <w:shd w:val="clear" w:color="auto" w:fill="FFFFFF"/>
        </w:rPr>
        <w:t>at the end of the document</w:t>
      </w:r>
      <w:r>
        <w:rPr>
          <w:rFonts w:ascii="Calibri" w:hAnsi="Calibri" w:cs="Arial"/>
          <w:sz w:val="20"/>
          <w:szCs w:val="20"/>
          <w:shd w:val="clear" w:color="auto" w:fill="FFFFFF"/>
        </w:rPr>
        <w:t>)</w:t>
      </w:r>
    </w:p>
    <w:p w14:paraId="61E6F571" w14:textId="77777777" w:rsidR="00C856F0" w:rsidRPr="00147224" w:rsidRDefault="00C856F0" w:rsidP="007D4473">
      <w:pPr>
        <w:keepNext/>
        <w:keepLines/>
        <w:spacing w:before="240" w:after="0"/>
        <w:ind w:left="360"/>
        <w:jc w:val="both"/>
        <w:outlineLvl w:val="0"/>
        <w:rPr>
          <w:rFonts w:asciiTheme="majorHAnsi" w:eastAsiaTheme="majorEastAsia" w:hAnsiTheme="majorHAnsi" w:cstheme="majorBidi"/>
          <w:sz w:val="32"/>
          <w:szCs w:val="32"/>
        </w:rPr>
      </w:pPr>
    </w:p>
    <w:p w14:paraId="4AEDA533" w14:textId="77777777" w:rsidR="00C856F0" w:rsidRPr="00405681" w:rsidRDefault="00C856F0" w:rsidP="007D4473">
      <w:pPr>
        <w:jc w:val="both"/>
        <w:rPr>
          <w:rFonts w:ascii="Calibri" w:hAnsi="Calibri" w:cs="Arial"/>
          <w:sz w:val="20"/>
          <w:szCs w:val="20"/>
          <w:shd w:val="clear" w:color="auto" w:fill="FFFFFF"/>
        </w:rPr>
        <w:sectPr w:rsidR="00C856F0" w:rsidRPr="00405681" w:rsidSect="00C856F0">
          <w:pgSz w:w="11906" w:h="16838" w:code="9"/>
          <w:pgMar w:top="1440" w:right="1440" w:bottom="1440" w:left="1440" w:header="720" w:footer="720" w:gutter="0"/>
          <w:cols w:space="720"/>
          <w:docGrid w:linePitch="360"/>
        </w:sectPr>
      </w:pPr>
    </w:p>
    <w:p w14:paraId="2AD8B826" w14:textId="1CB58BED" w:rsidR="002D6685" w:rsidRPr="002D6685" w:rsidRDefault="002D6685" w:rsidP="002D6685">
      <w:pPr>
        <w:keepNext/>
        <w:keepLines/>
        <w:spacing w:before="40" w:after="0"/>
        <w:ind w:firstLine="36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Preamble</w:t>
      </w:r>
    </w:p>
    <w:p w14:paraId="39FBB8F4" w14:textId="3A6D205C" w:rsidR="00A8607D" w:rsidRPr="00A8607D" w:rsidRDefault="00A8607D" w:rsidP="00A8607D">
      <w:pPr>
        <w:keepNext/>
        <w:keepLines/>
        <w:spacing w:before="40" w:after="0"/>
        <w:jc w:val="both"/>
        <w:outlineLvl w:val="1"/>
        <w:rPr>
          <w:rFonts w:ascii="Calibri" w:eastAsiaTheme="majorEastAsia" w:hAnsi="Calibri" w:cs="Arial"/>
          <w:sz w:val="20"/>
          <w:szCs w:val="20"/>
        </w:rPr>
      </w:pPr>
      <w:r w:rsidRPr="00A8607D">
        <w:rPr>
          <w:rFonts w:ascii="Calibri" w:eastAsiaTheme="majorEastAsia" w:hAnsi="Calibri" w:cs="Arial"/>
          <w:sz w:val="20"/>
          <w:szCs w:val="20"/>
        </w:rPr>
        <w:t>Before delving into the specifics, it is important to clarify certain concepts that</w:t>
      </w:r>
      <w:r w:rsidR="002D6685">
        <w:rPr>
          <w:rFonts w:ascii="Calibri" w:eastAsiaTheme="majorEastAsia" w:hAnsi="Calibri" w:cs="Arial"/>
          <w:sz w:val="20"/>
          <w:szCs w:val="20"/>
        </w:rPr>
        <w:t xml:space="preserve"> relate to stochasticity and ionizing radiation and </w:t>
      </w:r>
      <w:r w:rsidR="002D6685" w:rsidRPr="00A8607D">
        <w:rPr>
          <w:rFonts w:ascii="Calibri" w:eastAsiaTheme="majorEastAsia" w:hAnsi="Calibri" w:cs="Arial"/>
          <w:sz w:val="20"/>
          <w:szCs w:val="20"/>
        </w:rPr>
        <w:t>are</w:t>
      </w:r>
      <w:r w:rsidRPr="00A8607D">
        <w:rPr>
          <w:rFonts w:ascii="Calibri" w:eastAsiaTheme="majorEastAsia" w:hAnsi="Calibri" w:cs="Arial"/>
          <w:sz w:val="20"/>
          <w:szCs w:val="20"/>
        </w:rPr>
        <w:t xml:space="preserve"> often misunderstood or conflated with the stochastic nature of radiation interactions:</w:t>
      </w:r>
    </w:p>
    <w:p w14:paraId="7772788B" w14:textId="13AB6A2E" w:rsidR="00A8607D" w:rsidRPr="00F53A07" w:rsidRDefault="00A8607D" w:rsidP="00A8607D">
      <w:pPr>
        <w:keepNext/>
        <w:keepLines/>
        <w:spacing w:before="40" w:after="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Stochastic interactions vs. stochastic effects</w:t>
      </w:r>
      <w:r w:rsidR="00934138">
        <w:rPr>
          <w:rFonts w:ascii="Calibri" w:eastAsiaTheme="majorEastAsia" w:hAnsi="Calibri" w:cs="Arial"/>
          <w:i/>
          <w:iCs/>
          <w:sz w:val="20"/>
          <w:szCs w:val="20"/>
        </w:rPr>
        <w:t>.</w:t>
      </w:r>
      <w:r w:rsidRPr="00F53A07">
        <w:rPr>
          <w:rFonts w:ascii="Calibri" w:eastAsiaTheme="majorEastAsia" w:hAnsi="Calibri" w:cs="Arial"/>
          <w:sz w:val="20"/>
          <w:szCs w:val="20"/>
        </w:rPr>
        <w:t xml:space="preserve"> It is crucial to distinguish between the stochastic nature of radiation interactions</w:t>
      </w:r>
      <w:r w:rsidR="00934138">
        <w:rPr>
          <w:rFonts w:ascii="Calibri" w:eastAsiaTheme="majorEastAsia" w:hAnsi="Calibri" w:cs="Arial"/>
          <w:sz w:val="20"/>
          <w:szCs w:val="20"/>
        </w:rPr>
        <w:t xml:space="preserve">, which refer </w:t>
      </w:r>
      <w:r w:rsidRPr="00F53A07">
        <w:rPr>
          <w:rFonts w:ascii="Calibri" w:eastAsiaTheme="majorEastAsia" w:hAnsi="Calibri" w:cs="Arial"/>
          <w:sz w:val="20"/>
          <w:szCs w:val="20"/>
        </w:rPr>
        <w:t>to the probabilistic behavior of particles at the microscopic level</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and stochastic effects, which </w:t>
      </w:r>
      <w:r w:rsidR="002D6685" w:rsidRPr="00F53A07">
        <w:rPr>
          <w:rFonts w:ascii="Calibri" w:eastAsiaTheme="majorEastAsia" w:hAnsi="Calibri" w:cs="Arial"/>
          <w:sz w:val="20"/>
          <w:szCs w:val="20"/>
        </w:rPr>
        <w:t>indicate</w:t>
      </w:r>
      <w:r w:rsidRPr="00F53A07">
        <w:rPr>
          <w:rFonts w:ascii="Calibri" w:eastAsiaTheme="majorEastAsia" w:hAnsi="Calibri" w:cs="Arial"/>
          <w:sz w:val="20"/>
          <w:szCs w:val="20"/>
        </w:rPr>
        <w:t xml:space="preserve"> biological responses to radiation exposure relevant in the context of radioprotection. Although these terms are </w:t>
      </w:r>
      <w:r w:rsidR="002D6685" w:rsidRPr="00F53A07">
        <w:rPr>
          <w:rFonts w:ascii="Calibri" w:eastAsiaTheme="majorEastAsia" w:hAnsi="Calibri" w:cs="Arial"/>
          <w:sz w:val="20"/>
          <w:szCs w:val="20"/>
        </w:rPr>
        <w:t xml:space="preserve">occasionally </w:t>
      </w:r>
      <w:r w:rsidR="00934138">
        <w:rPr>
          <w:rFonts w:ascii="Calibri" w:eastAsiaTheme="majorEastAsia" w:hAnsi="Calibri" w:cs="Arial"/>
          <w:sz w:val="20"/>
          <w:szCs w:val="20"/>
        </w:rPr>
        <w:t>associated</w:t>
      </w:r>
      <w:r w:rsidRPr="00F53A07">
        <w:rPr>
          <w:rFonts w:ascii="Calibri" w:eastAsiaTheme="majorEastAsia" w:hAnsi="Calibri" w:cs="Arial"/>
          <w:sz w:val="20"/>
          <w:szCs w:val="20"/>
        </w:rPr>
        <w:t>, they describe fundamentally different phenomena.</w:t>
      </w:r>
    </w:p>
    <w:p w14:paraId="3C3E4C9A" w14:textId="62C46DB8" w:rsidR="00A8607D" w:rsidRDefault="00A8607D" w:rsidP="00A8607D">
      <w:pPr>
        <w:keepNext/>
        <w:keepLines/>
        <w:spacing w:before="40" w:after="0"/>
        <w:jc w:val="both"/>
        <w:outlineLvl w:val="1"/>
        <w:rPr>
          <w:rFonts w:ascii="Calibri" w:eastAsiaTheme="majorEastAsia" w:hAnsi="Calibri" w:cs="Arial"/>
          <w:sz w:val="20"/>
          <w:szCs w:val="20"/>
        </w:rPr>
      </w:pPr>
      <w:r w:rsidRPr="00934138">
        <w:rPr>
          <w:rFonts w:ascii="Calibri" w:eastAsiaTheme="majorEastAsia" w:hAnsi="Calibri" w:cs="Arial"/>
          <w:i/>
          <w:iCs/>
          <w:sz w:val="20"/>
          <w:szCs w:val="20"/>
        </w:rPr>
        <w:t>Distributions and stochasticity</w:t>
      </w:r>
      <w:r w:rsidR="00934138">
        <w:rPr>
          <w:rFonts w:ascii="Calibri" w:eastAsiaTheme="majorEastAsia" w:hAnsi="Calibri" w:cs="Arial"/>
          <w:sz w:val="20"/>
          <w:szCs w:val="20"/>
        </w:rPr>
        <w:t xml:space="preserve">. </w:t>
      </w:r>
      <w:r w:rsidRPr="00F53A07">
        <w:rPr>
          <w:rFonts w:ascii="Calibri" w:eastAsiaTheme="majorEastAsia" w:hAnsi="Calibri" w:cs="Arial"/>
          <w:sz w:val="20"/>
          <w:szCs w:val="20"/>
        </w:rPr>
        <w:t xml:space="preserve"> The representation </w:t>
      </w:r>
      <w:r w:rsidRPr="00A8607D">
        <w:rPr>
          <w:rFonts w:ascii="Calibri" w:eastAsiaTheme="majorEastAsia" w:hAnsi="Calibri" w:cs="Arial"/>
          <w:sz w:val="20"/>
          <w:szCs w:val="20"/>
        </w:rPr>
        <w:t xml:space="preserve">of a quantity as a distribution does not inherently imply that the quantity itself is stochastic. A pertinent example is the distribution of linear energy transfer (LET), which, despite being expressed as a distribution, is not </w:t>
      </w:r>
      <w:r w:rsidR="005B0954">
        <w:rPr>
          <w:rFonts w:ascii="Calibri" w:eastAsiaTheme="majorEastAsia" w:hAnsi="Calibri" w:cs="Arial"/>
          <w:sz w:val="20"/>
          <w:szCs w:val="20"/>
        </w:rPr>
        <w:t xml:space="preserve">expressing </w:t>
      </w:r>
      <w:r w:rsidR="005B0954" w:rsidRPr="00A8607D">
        <w:rPr>
          <w:rFonts w:ascii="Calibri" w:eastAsiaTheme="majorEastAsia" w:hAnsi="Calibri" w:cs="Arial"/>
          <w:sz w:val="20"/>
          <w:szCs w:val="20"/>
        </w:rPr>
        <w:t>stochasticity</w:t>
      </w:r>
      <w:r w:rsidRPr="00A8607D">
        <w:rPr>
          <w:rFonts w:ascii="Calibri" w:eastAsiaTheme="majorEastAsia" w:hAnsi="Calibri" w:cs="Arial"/>
          <w:sz w:val="20"/>
          <w:szCs w:val="20"/>
        </w:rPr>
        <w:t>.</w:t>
      </w:r>
    </w:p>
    <w:p w14:paraId="21F6FBED" w14:textId="22D40E88" w:rsidR="007D4473" w:rsidRPr="002D6685"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2D6685">
        <w:rPr>
          <w:rFonts w:ascii="Calibri" w:eastAsiaTheme="majorEastAsia" w:hAnsi="Calibri" w:cs="Arial"/>
          <w:b/>
          <w:bCs/>
          <w:sz w:val="20"/>
          <w:szCs w:val="20"/>
        </w:rPr>
        <w:t>Context and background</w:t>
      </w:r>
    </w:p>
    <w:p w14:paraId="5AC0740B" w14:textId="5D43143A"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objective of this chapter is to demonstrate that, within the context of ion-beam therapy, the insights provided by microdosimetric spectra are predominantly of a non-stochastic nature, with only limited relevance to the stochastic characteristics of radiation interactions. This argument is developed through a structured exploration of key concepts</w:t>
      </w:r>
      <w:r w:rsidR="00934138">
        <w:rPr>
          <w:rFonts w:asciiTheme="minorHAnsi" w:hAnsiTheme="minorHAnsi" w:cstheme="minorHAnsi"/>
        </w:rPr>
        <w:t>:</w:t>
      </w:r>
    </w:p>
    <w:p w14:paraId="7D45C9A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discussion begins by defining the stochastic nature of radiation interactions. It then examines how microdosimetry—particularly in scenarios involving nearly monoenergetic ion beams—exhibits strong correlations with deterministic parameters such as LET. In more complex and heterogeneous irradiation fields, microdosimetric measurements continue to align closely with LET distributions. These observations suggest a prevailing relationship with deterministic quantities rather than with inherently stochastic processes.</w:t>
      </w:r>
    </w:p>
    <w:p w14:paraId="6EFCA56E" w14:textId="77E3BB5F" w:rsidR="007D4473" w:rsidRPr="007D4473"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A central thesis of this chapter is that the commonly perceived association between microdosimetry and the stochastic nature of radiation interactions </w:t>
      </w:r>
      <w:r w:rsidRPr="00A8607D">
        <w:rPr>
          <w:rFonts w:asciiTheme="minorHAnsi" w:hAnsiTheme="minorHAnsi" w:cstheme="minorHAnsi"/>
        </w:rPr>
        <w:t>largely originates from its historical application to indirectly ionizing particles. This legacy has significantly influenced the conceptual framework of the field.</w:t>
      </w:r>
    </w:p>
    <w:p w14:paraId="457B156A" w14:textId="157C4D33" w:rsidR="00F61B1E" w:rsidRPr="00F61B1E" w:rsidRDefault="007D4473" w:rsidP="00F61B1E">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Randomness of interactions</w:t>
      </w:r>
    </w:p>
    <w:p w14:paraId="4355970E"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When ion beams are tailored to conform radiation to a tumor target under specific clinical constraints, random effects must be considered, as they contribute to the overall stochasticity of the process. Let us consider ionizing radiation composed of particles of a defined type and energy. The stochastic nature of radiation interactions with matter has a precise meaning, which can be broken down into the following components:</w:t>
      </w:r>
    </w:p>
    <w:p w14:paraId="4590CF0D"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Random Collisions with Matter</w:t>
      </w:r>
    </w:p>
    <w:p w14:paraId="5AB21C45" w14:textId="652EE01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A charged particle traversing a target interacts randomly with individual electrons and nuclei of the medium. These interactions are governed by</w:t>
      </w:r>
      <w:r>
        <w:rPr>
          <w:rFonts w:asciiTheme="minorHAnsi" w:hAnsiTheme="minorHAnsi" w:cstheme="minorHAnsi"/>
        </w:rPr>
        <w:t xml:space="preserve"> e</w:t>
      </w:r>
      <w:r w:rsidRPr="00A8607D">
        <w:rPr>
          <w:rFonts w:asciiTheme="minorHAnsi" w:hAnsiTheme="minorHAnsi" w:cstheme="minorHAnsi"/>
        </w:rPr>
        <w:t>lectronic collisions, described by probability distributions of electron interactions</w:t>
      </w:r>
      <w:r>
        <w:rPr>
          <w:rFonts w:asciiTheme="minorHAnsi" w:hAnsiTheme="minorHAnsi" w:cstheme="minorHAnsi"/>
        </w:rPr>
        <w:t xml:space="preserve"> and n</w:t>
      </w:r>
      <w:r w:rsidRPr="00A8607D">
        <w:rPr>
          <w:rFonts w:asciiTheme="minorHAnsi" w:hAnsiTheme="minorHAnsi" w:cstheme="minorHAnsi"/>
        </w:rPr>
        <w:t>uclear interactions, characterized by nuclear cross sections.</w:t>
      </w:r>
    </w:p>
    <w:p w14:paraId="7DF366B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b) Stochastic Energy Transfer</w:t>
      </w:r>
    </w:p>
    <w:p w14:paraId="7DB89102" w14:textId="5F302766"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energy transferred in each collision is itself a stochastic variable. For clinical ions interacting with electrons in the medium, the energy transfer spans over five orders of magnitude—from a few electron</w:t>
      </w:r>
      <w:r w:rsidR="00D7570C">
        <w:rPr>
          <w:rFonts w:asciiTheme="minorHAnsi" w:hAnsiTheme="minorHAnsi" w:cstheme="minorHAnsi"/>
        </w:rPr>
        <w:t>-</w:t>
      </w:r>
      <w:r w:rsidRPr="00A8607D">
        <w:rPr>
          <w:rFonts w:asciiTheme="minorHAnsi" w:hAnsiTheme="minorHAnsi" w:cstheme="minorHAnsi"/>
        </w:rPr>
        <w:t xml:space="preserve">volts (eV) to </w:t>
      </w:r>
      <w:r w:rsidR="00934138">
        <w:rPr>
          <w:rFonts w:asciiTheme="minorHAnsi" w:hAnsiTheme="minorHAnsi" w:cstheme="minorHAnsi"/>
        </w:rPr>
        <w:t xml:space="preserve">some </w:t>
      </w:r>
      <w:r w:rsidRPr="00A8607D">
        <w:rPr>
          <w:rFonts w:asciiTheme="minorHAnsi" w:hAnsiTheme="minorHAnsi" w:cstheme="minorHAnsi"/>
        </w:rPr>
        <w:t>mega-electron</w:t>
      </w:r>
      <w:r w:rsidR="00D7570C">
        <w:rPr>
          <w:rFonts w:asciiTheme="minorHAnsi" w:hAnsiTheme="minorHAnsi" w:cstheme="minorHAnsi"/>
        </w:rPr>
        <w:t>-</w:t>
      </w:r>
      <w:r w:rsidRPr="00A8607D">
        <w:rPr>
          <w:rFonts w:asciiTheme="minorHAnsi" w:hAnsiTheme="minorHAnsi" w:cstheme="minorHAnsi"/>
        </w:rPr>
        <w:t>volts (MeV). Notably, lower-energy interactions are far more probable than high-energy ones.</w:t>
      </w:r>
    </w:p>
    <w:p w14:paraId="2C9FF6C9" w14:textId="095EA15D"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As a particle travels a distance </w:t>
      </w:r>
      <w:r w:rsidRPr="00934138">
        <w:rPr>
          <w:rFonts w:asciiTheme="minorHAnsi" w:hAnsiTheme="minorHAnsi" w:cstheme="minorHAnsi"/>
          <w:i/>
          <w:iCs/>
        </w:rPr>
        <w:t>d</w:t>
      </w:r>
      <w:r w:rsidRPr="00A8607D">
        <w:rPr>
          <w:rFonts w:asciiTheme="minorHAnsi" w:hAnsiTheme="minorHAnsi" w:cstheme="minorHAnsi"/>
        </w:rPr>
        <w:t xml:space="preserve"> through a medium, the total energy lost via electronic collisions results from a series of random events. Each collision occurs with a certain probability (as described in point a) and transfers a variable amount of energy (as described in point b). The cumulative effect of these interactions is known as energy-loss straggling, which depends on the path length </w:t>
      </w:r>
      <w:r w:rsidRPr="00934138">
        <w:rPr>
          <w:rFonts w:asciiTheme="minorHAnsi" w:hAnsiTheme="minorHAnsi" w:cstheme="minorHAnsi"/>
          <w:i/>
          <w:iCs/>
        </w:rPr>
        <w:t>d</w:t>
      </w:r>
      <w:r w:rsidRPr="00A8607D">
        <w:rPr>
          <w:rFonts w:asciiTheme="minorHAnsi" w:hAnsiTheme="minorHAnsi" w:cstheme="minorHAnsi"/>
        </w:rPr>
        <w:t>.</w:t>
      </w:r>
    </w:p>
    <w:p w14:paraId="0FCB36A5"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c) Particle Number Fluctuations</w:t>
      </w:r>
    </w:p>
    <w:p w14:paraId="13027618" w14:textId="4E408BCE" w:rsid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The number of particles traversing a sensitive volume is a random variable, governed by a probability distribution dependent on fluence and, </w:t>
      </w:r>
      <w:r w:rsidRPr="00A8607D">
        <w:rPr>
          <w:rFonts w:asciiTheme="minorHAnsi" w:hAnsiTheme="minorHAnsi" w:cstheme="minorHAnsi"/>
        </w:rPr>
        <w:lastRenderedPageBreak/>
        <w:t>consequently, on dose. While this stochasticity does not affect microdosimetric representations in terms of lineal energy, it is relevant for spectra</w:t>
      </w:r>
      <w:r w:rsidR="00934138">
        <w:rPr>
          <w:rFonts w:asciiTheme="minorHAnsi" w:hAnsiTheme="minorHAnsi" w:cstheme="minorHAnsi"/>
        </w:rPr>
        <w:t xml:space="preserve"> of other quantities</w:t>
      </w:r>
      <w:r w:rsidRPr="00A8607D">
        <w:rPr>
          <w:rFonts w:asciiTheme="minorHAnsi" w:hAnsiTheme="minorHAnsi" w:cstheme="minorHAnsi"/>
        </w:rPr>
        <w:t>, such as</w:t>
      </w:r>
      <w:r>
        <w:rPr>
          <w:rFonts w:asciiTheme="minorHAnsi" w:hAnsiTheme="minorHAnsi" w:cstheme="minorHAnsi"/>
        </w:rPr>
        <w:t xml:space="preserve"> s</w:t>
      </w:r>
      <w:r w:rsidRPr="00A8607D">
        <w:rPr>
          <w:rFonts w:asciiTheme="minorHAnsi" w:hAnsiTheme="minorHAnsi" w:cstheme="minorHAnsi"/>
        </w:rPr>
        <w:t>pecific energy</w:t>
      </w:r>
      <w:r>
        <w:rPr>
          <w:rFonts w:asciiTheme="minorHAnsi" w:hAnsiTheme="minorHAnsi" w:cstheme="minorHAnsi"/>
        </w:rPr>
        <w:t>, and e</w:t>
      </w:r>
      <w:r w:rsidRPr="00A8607D">
        <w:rPr>
          <w:rFonts w:asciiTheme="minorHAnsi" w:hAnsiTheme="minorHAnsi" w:cstheme="minorHAnsi"/>
        </w:rPr>
        <w:t>nergy imparted</w:t>
      </w:r>
      <w:r w:rsidR="00934138">
        <w:rPr>
          <w:rFonts w:asciiTheme="minorHAnsi" w:hAnsiTheme="minorHAnsi" w:cstheme="minorHAnsi"/>
        </w:rPr>
        <w:t>. M</w:t>
      </w:r>
      <w:r w:rsidRPr="00A8607D">
        <w:rPr>
          <w:rFonts w:asciiTheme="minorHAnsi" w:hAnsiTheme="minorHAnsi" w:cstheme="minorHAnsi"/>
        </w:rPr>
        <w:t>ulti-event distributions are less commonly used today, but the debate over their relevance—especially in high-intensity radiation fields where multiple particles strike a single cell nucleus—remains unresolved (e.g.</w:t>
      </w:r>
      <w:r w:rsidR="00D7570C">
        <w:rPr>
          <w:rFonts w:asciiTheme="minorHAnsi" w:hAnsiTheme="minorHAnsi" w:cstheme="minorHAnsi"/>
        </w:rPr>
        <w:t xml:space="preserve"> </w:t>
      </w:r>
      <w:r w:rsidR="00E01A0F">
        <w:rPr>
          <w:rFonts w:asciiTheme="minorHAnsi" w:hAnsiTheme="minorHAnsi" w:cstheme="minorHAnsi"/>
        </w:rPr>
        <w:t xml:space="preserve">the </w:t>
      </w:r>
      <w:r w:rsidR="00E01A0F" w:rsidRPr="00A8607D">
        <w:rPr>
          <w:rFonts w:asciiTheme="minorHAnsi" w:hAnsiTheme="minorHAnsi" w:cstheme="minorHAnsi"/>
        </w:rPr>
        <w:t>debate</w:t>
      </w:r>
      <w:r w:rsidR="00E01A0F">
        <w:rPr>
          <w:rFonts w:asciiTheme="minorHAnsi" w:hAnsiTheme="minorHAnsi" w:cstheme="minorHAnsi"/>
        </w:rPr>
        <w:t xml:space="preserve"> </w:t>
      </w:r>
      <w:r w:rsidR="00D7570C">
        <w:rPr>
          <w:rFonts w:asciiTheme="minorHAnsi" w:hAnsiTheme="minorHAnsi" w:cstheme="minorHAnsi"/>
        </w:rPr>
        <w:t xml:space="preserve">[Brenner 1998] </w:t>
      </w:r>
      <w:r w:rsidRPr="00A8607D">
        <w:rPr>
          <w:rFonts w:asciiTheme="minorHAnsi" w:hAnsiTheme="minorHAnsi" w:cstheme="minorHAnsi"/>
        </w:rPr>
        <w:t>vs.</w:t>
      </w:r>
      <w:r w:rsidR="00D7570C">
        <w:rPr>
          <w:rFonts w:asciiTheme="minorHAnsi" w:hAnsiTheme="minorHAnsi" w:cstheme="minorHAnsi"/>
        </w:rPr>
        <w:t xml:space="preserve"> [Pihet 1999]</w:t>
      </w:r>
      <w:r w:rsidRPr="00A8607D">
        <w:rPr>
          <w:rFonts w:asciiTheme="minorHAnsi" w:hAnsiTheme="minorHAnsi" w:cstheme="minorHAnsi"/>
        </w:rPr>
        <w:t>).</w:t>
      </w:r>
      <w:r>
        <w:rPr>
          <w:rFonts w:asciiTheme="minorHAnsi" w:hAnsiTheme="minorHAnsi" w:cstheme="minorHAnsi"/>
        </w:rPr>
        <w:t xml:space="preserve"> </w:t>
      </w:r>
    </w:p>
    <w:p w14:paraId="729A1A47" w14:textId="59F708BA" w:rsidR="00A97B79" w:rsidRDefault="00A8607D" w:rsidP="00A97B79">
      <w:pPr>
        <w:pStyle w:val="Normal1"/>
        <w:jc w:val="both"/>
        <w:rPr>
          <w:rFonts w:asciiTheme="minorHAnsi" w:hAnsiTheme="minorHAnsi" w:cstheme="minorHAnsi"/>
        </w:rPr>
      </w:pPr>
      <w:r w:rsidRPr="00A8607D">
        <w:rPr>
          <w:rFonts w:asciiTheme="minorHAnsi" w:hAnsiTheme="minorHAnsi" w:cstheme="minorHAnsi"/>
        </w:rPr>
        <w:t>Experimental spectra based on lineal energy, single-event energy imparted (ε₁), and single-event specific energy (z₁)</w:t>
      </w:r>
      <w:r w:rsidR="00A97B79">
        <w:rPr>
          <w:rFonts w:asciiTheme="minorHAnsi" w:hAnsiTheme="minorHAnsi" w:cstheme="minorHAnsi"/>
        </w:rPr>
        <w:t xml:space="preserve"> </w:t>
      </w:r>
      <w:r w:rsidRPr="00A8607D">
        <w:rPr>
          <w:rFonts w:asciiTheme="minorHAnsi" w:hAnsiTheme="minorHAnsi" w:cstheme="minorHAnsi"/>
        </w:rPr>
        <w:t xml:space="preserve">are </w:t>
      </w:r>
      <w:r w:rsidR="00934138">
        <w:rPr>
          <w:rFonts w:asciiTheme="minorHAnsi" w:hAnsiTheme="minorHAnsi" w:cstheme="minorHAnsi"/>
        </w:rPr>
        <w:t xml:space="preserve">the consequence of </w:t>
      </w:r>
      <w:r w:rsidRPr="00A8607D">
        <w:rPr>
          <w:rFonts w:asciiTheme="minorHAnsi" w:hAnsiTheme="minorHAnsi" w:cstheme="minorHAnsi"/>
        </w:rPr>
        <w:t xml:space="preserve">the stochastic processes (a) and (b). </w:t>
      </w:r>
      <w:r w:rsidR="00A97B79" w:rsidRPr="00A8607D">
        <w:rPr>
          <w:rFonts w:asciiTheme="minorHAnsi" w:hAnsiTheme="minorHAnsi" w:cstheme="minorHAnsi"/>
        </w:rPr>
        <w:t xml:space="preserve">Experimental spectra based on </w:t>
      </w:r>
      <w:r w:rsidR="00A97B79">
        <w:rPr>
          <w:rFonts w:asciiTheme="minorHAnsi" w:hAnsiTheme="minorHAnsi" w:cstheme="minorHAnsi"/>
        </w:rPr>
        <w:t>multi-</w:t>
      </w:r>
      <w:r w:rsidR="00A97B79" w:rsidRPr="00A8607D">
        <w:rPr>
          <w:rFonts w:asciiTheme="minorHAnsi" w:hAnsiTheme="minorHAnsi" w:cstheme="minorHAnsi"/>
        </w:rPr>
        <w:t xml:space="preserve">event energy imparted (ε), and </w:t>
      </w:r>
      <w:r w:rsidR="00A97B79">
        <w:rPr>
          <w:rFonts w:asciiTheme="minorHAnsi" w:hAnsiTheme="minorHAnsi" w:cstheme="minorHAnsi"/>
        </w:rPr>
        <w:t>multi</w:t>
      </w:r>
      <w:r w:rsidR="00A97B79" w:rsidRPr="00A8607D">
        <w:rPr>
          <w:rFonts w:asciiTheme="minorHAnsi" w:hAnsiTheme="minorHAnsi" w:cstheme="minorHAnsi"/>
        </w:rPr>
        <w:t>-event specific energy (z)</w:t>
      </w:r>
      <w:r w:rsidR="00A97B79">
        <w:rPr>
          <w:rFonts w:asciiTheme="minorHAnsi" w:hAnsiTheme="minorHAnsi" w:cstheme="minorHAnsi"/>
        </w:rPr>
        <w:t xml:space="preserve"> </w:t>
      </w:r>
      <w:r w:rsidR="00A97B79" w:rsidRPr="00A8607D">
        <w:rPr>
          <w:rFonts w:asciiTheme="minorHAnsi" w:hAnsiTheme="minorHAnsi" w:cstheme="minorHAnsi"/>
        </w:rPr>
        <w:t xml:space="preserve">are </w:t>
      </w:r>
      <w:r w:rsidR="00934138">
        <w:rPr>
          <w:rFonts w:asciiTheme="minorHAnsi" w:hAnsiTheme="minorHAnsi" w:cstheme="minorHAnsi"/>
        </w:rPr>
        <w:t xml:space="preserve">the consequence of the </w:t>
      </w:r>
      <w:r w:rsidR="00A97B79" w:rsidRPr="00A8607D">
        <w:rPr>
          <w:rFonts w:asciiTheme="minorHAnsi" w:hAnsiTheme="minorHAnsi" w:cstheme="minorHAnsi"/>
        </w:rPr>
        <w:t>stochastic processes (a)</w:t>
      </w:r>
      <w:r w:rsidR="00A97B79">
        <w:rPr>
          <w:rFonts w:asciiTheme="minorHAnsi" w:hAnsiTheme="minorHAnsi" w:cstheme="minorHAnsi"/>
        </w:rPr>
        <w:t>,</w:t>
      </w:r>
      <w:r w:rsidR="00A97B79" w:rsidRPr="00A8607D">
        <w:rPr>
          <w:rFonts w:asciiTheme="minorHAnsi" w:hAnsiTheme="minorHAnsi" w:cstheme="minorHAnsi"/>
        </w:rPr>
        <w:t xml:space="preserve"> (b)</w:t>
      </w:r>
      <w:r w:rsidR="00A97B79">
        <w:rPr>
          <w:rFonts w:asciiTheme="minorHAnsi" w:hAnsiTheme="minorHAnsi" w:cstheme="minorHAnsi"/>
        </w:rPr>
        <w:t>, and (c)</w:t>
      </w:r>
      <w:r w:rsidR="00A97B79" w:rsidRPr="00A8607D">
        <w:rPr>
          <w:rFonts w:asciiTheme="minorHAnsi" w:hAnsiTheme="minorHAnsi" w:cstheme="minorHAnsi"/>
        </w:rPr>
        <w:t xml:space="preserve">. </w:t>
      </w:r>
    </w:p>
    <w:p w14:paraId="13DF25F4" w14:textId="2C0542D6" w:rsidR="00A8607D" w:rsidRPr="00F61B1E" w:rsidRDefault="00A8607D" w:rsidP="00F61B1E">
      <w:pPr>
        <w:pStyle w:val="Normal1"/>
        <w:jc w:val="both"/>
        <w:rPr>
          <w:rFonts w:asciiTheme="minorHAnsi" w:hAnsiTheme="minorHAnsi" w:cstheme="minorHAnsi"/>
          <w:b/>
          <w:bCs/>
        </w:rPr>
      </w:pPr>
      <w:r w:rsidRPr="00F61B1E">
        <w:rPr>
          <w:rFonts w:asciiTheme="minorHAnsi" w:hAnsiTheme="minorHAnsi" w:cstheme="minorHAnsi"/>
          <w:b/>
          <w:bCs/>
        </w:rPr>
        <w:t xml:space="preserve">Additional </w:t>
      </w:r>
      <w:r w:rsidR="00B571E3" w:rsidRPr="00F61B1E">
        <w:rPr>
          <w:rFonts w:asciiTheme="minorHAnsi" w:hAnsiTheme="minorHAnsi" w:cstheme="minorHAnsi"/>
          <w:b/>
          <w:bCs/>
        </w:rPr>
        <w:t>factors influencing spectral representatio</w:t>
      </w:r>
      <w:r w:rsidRPr="00F61B1E">
        <w:rPr>
          <w:rFonts w:asciiTheme="minorHAnsi" w:hAnsiTheme="minorHAnsi" w:cstheme="minorHAnsi"/>
          <w:b/>
          <w:bCs/>
        </w:rPr>
        <w:t>ns</w:t>
      </w:r>
    </w:p>
    <w:p w14:paraId="72BFADD8" w14:textId="7777777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There are other stochastic aspects related to radiation quality that do not stem directly from the stochastic nature of energy interactions. These are discussed here to prevent misinterpretation. Uncertainties related to detector readout electronics and signal conversion are excluded from this discussion.</w:t>
      </w:r>
    </w:p>
    <w:p w14:paraId="3E7D3E1E" w14:textId="3C5C887B"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d) Geometry of the </w:t>
      </w:r>
      <w:r w:rsidR="008B3A97" w:rsidRPr="00A8607D">
        <w:rPr>
          <w:rFonts w:asciiTheme="minorHAnsi" w:hAnsiTheme="minorHAnsi" w:cstheme="minorHAnsi"/>
        </w:rPr>
        <w:t>sensitive volume</w:t>
      </w:r>
    </w:p>
    <w:p w14:paraId="725904D9" w14:textId="77777777" w:rsidR="002D6685" w:rsidRDefault="00A8607D" w:rsidP="00A8607D">
      <w:pPr>
        <w:pStyle w:val="Normal1"/>
        <w:jc w:val="both"/>
        <w:rPr>
          <w:rFonts w:asciiTheme="minorHAnsi" w:hAnsiTheme="minorHAnsi" w:cstheme="minorHAnsi"/>
        </w:rPr>
      </w:pPr>
      <w:r w:rsidRPr="00A8607D">
        <w:rPr>
          <w:rFonts w:asciiTheme="minorHAnsi" w:hAnsiTheme="minorHAnsi" w:cstheme="minorHAnsi"/>
        </w:rPr>
        <w:t>The shape and size of the sensitive volume influence how energy interactions are represented</w:t>
      </w:r>
      <w:r w:rsidR="002D6685">
        <w:rPr>
          <w:rFonts w:asciiTheme="minorHAnsi" w:hAnsiTheme="minorHAnsi" w:cstheme="minorHAnsi"/>
        </w:rPr>
        <w:t xml:space="preserve">. </w:t>
      </w:r>
      <w:r w:rsidRPr="00A8607D">
        <w:rPr>
          <w:rFonts w:asciiTheme="minorHAnsi" w:hAnsiTheme="minorHAnsi" w:cstheme="minorHAnsi"/>
        </w:rPr>
        <w:t>In non-flat geometries (e.g., spherical volumes), the chord length</w:t>
      </w:r>
      <w:r w:rsidR="00AD507A">
        <w:rPr>
          <w:rFonts w:asciiTheme="minorHAnsi" w:hAnsiTheme="minorHAnsi" w:cstheme="minorHAnsi"/>
        </w:rPr>
        <w:t xml:space="preserve">, which represents </w:t>
      </w:r>
      <w:r w:rsidRPr="00A8607D">
        <w:rPr>
          <w:rFonts w:asciiTheme="minorHAnsi" w:hAnsiTheme="minorHAnsi" w:cstheme="minorHAnsi"/>
        </w:rPr>
        <w:t>the path a particle travels through the volume</w:t>
      </w:r>
      <w:r w:rsidR="00AD507A">
        <w:rPr>
          <w:rFonts w:asciiTheme="minorHAnsi" w:hAnsiTheme="minorHAnsi" w:cstheme="minorHAnsi"/>
        </w:rPr>
        <w:t xml:space="preserve">, </w:t>
      </w:r>
      <w:r w:rsidRPr="00A8607D">
        <w:rPr>
          <w:rFonts w:asciiTheme="minorHAnsi" w:hAnsiTheme="minorHAnsi" w:cstheme="minorHAnsi"/>
        </w:rPr>
        <w:t>varies depending on the point of entry. This affects the spectral profile, especially at low statistics.</w:t>
      </w:r>
      <w:r w:rsidR="002D6685">
        <w:rPr>
          <w:rFonts w:asciiTheme="minorHAnsi" w:hAnsiTheme="minorHAnsi" w:cstheme="minorHAnsi"/>
        </w:rPr>
        <w:t xml:space="preserve"> </w:t>
      </w:r>
    </w:p>
    <w:p w14:paraId="2EC9A00F" w14:textId="27C8B5E6" w:rsidR="00A8607D" w:rsidRPr="00A8607D" w:rsidRDefault="008B3A97" w:rsidP="00A8607D">
      <w:pPr>
        <w:pStyle w:val="Normal1"/>
        <w:jc w:val="both"/>
        <w:rPr>
          <w:rFonts w:asciiTheme="minorHAnsi" w:hAnsiTheme="minorHAnsi" w:cstheme="minorHAnsi"/>
        </w:rPr>
      </w:pPr>
      <w:r>
        <w:rPr>
          <w:rFonts w:asciiTheme="minorHAnsi" w:hAnsiTheme="minorHAnsi" w:cstheme="minorHAnsi"/>
        </w:rPr>
        <w:t>A</w:t>
      </w:r>
      <w:r w:rsidRPr="008B3A97">
        <w:rPr>
          <w:rFonts w:asciiTheme="minorHAnsi" w:hAnsiTheme="minorHAnsi" w:cstheme="minorHAnsi"/>
        </w:rPr>
        <w:t>s the number of particles increases, the distribution of impact points becomes more uniform, and the chord length distribution converges toward a predictable geometric form—such as a triangular distribution in spherical geometries. Under these conditions, geometric effects can be effectively corrected using post-processing techniques, as demonstrated by Kellere</w:t>
      </w:r>
      <w:r>
        <w:rPr>
          <w:rFonts w:asciiTheme="minorHAnsi" w:hAnsiTheme="minorHAnsi" w:cstheme="minorHAnsi"/>
        </w:rPr>
        <w:t xml:space="preserve">r </w:t>
      </w:r>
      <w:r w:rsidR="00A8607D" w:rsidRPr="00A8607D">
        <w:rPr>
          <w:rFonts w:asciiTheme="minorHAnsi" w:hAnsiTheme="minorHAnsi" w:cstheme="minorHAnsi"/>
        </w:rPr>
        <w:t>[Kellerer</w:t>
      </w:r>
      <w:r w:rsidR="00446AEF">
        <w:rPr>
          <w:rFonts w:asciiTheme="minorHAnsi" w:hAnsiTheme="minorHAnsi" w:cstheme="minorHAnsi"/>
        </w:rPr>
        <w:t xml:space="preserve"> 1972</w:t>
      </w:r>
      <w:r w:rsidR="00A8607D" w:rsidRPr="00A8607D">
        <w:rPr>
          <w:rFonts w:asciiTheme="minorHAnsi" w:hAnsiTheme="minorHAnsi" w:cstheme="minorHAnsi"/>
        </w:rPr>
        <w:t>].</w:t>
      </w:r>
    </w:p>
    <w:p w14:paraId="080E2091" w14:textId="093E8701"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In contrast, flat sensitive volumes with nearly parallel ion trajectories (as in solid-state detectors used in therapy) yield spectra that are largely </w:t>
      </w:r>
      <w:r w:rsidRPr="00A8607D">
        <w:rPr>
          <w:rFonts w:asciiTheme="minorHAnsi" w:hAnsiTheme="minorHAnsi" w:cstheme="minorHAnsi"/>
        </w:rPr>
        <w:t>independent of geometry, minimizing related uncertainties [Magrin 2018].</w:t>
      </w:r>
    </w:p>
    <w:p w14:paraId="2104083C" w14:textId="4CD02C55"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 xml:space="preserve">e) Escape </w:t>
      </w:r>
      <w:r w:rsidR="008B3A97" w:rsidRPr="00A8607D">
        <w:rPr>
          <w:rFonts w:asciiTheme="minorHAnsi" w:hAnsiTheme="minorHAnsi" w:cstheme="minorHAnsi"/>
        </w:rPr>
        <w:t>of delta rays</w:t>
      </w:r>
    </w:p>
    <w:p w14:paraId="2B131763" w14:textId="0AAC4587" w:rsidR="00A8607D" w:rsidRPr="00A8607D" w:rsidRDefault="00A8607D" w:rsidP="00A8607D">
      <w:pPr>
        <w:pStyle w:val="Normal1"/>
        <w:jc w:val="both"/>
        <w:rPr>
          <w:rFonts w:asciiTheme="minorHAnsi" w:hAnsiTheme="minorHAnsi" w:cstheme="minorHAnsi"/>
        </w:rPr>
      </w:pPr>
      <w:r w:rsidRPr="00A8607D">
        <w:rPr>
          <w:rFonts w:asciiTheme="minorHAnsi" w:hAnsiTheme="minorHAnsi" w:cstheme="minorHAnsi"/>
        </w:rPr>
        <w:t>The cross-sectional area of the sensitive volume also plays a critical role</w:t>
      </w:r>
      <w:r w:rsidR="002D6685">
        <w:rPr>
          <w:rFonts w:asciiTheme="minorHAnsi" w:hAnsiTheme="minorHAnsi" w:cstheme="minorHAnsi"/>
        </w:rPr>
        <w:t xml:space="preserve">. </w:t>
      </w:r>
      <w:r w:rsidRPr="00A8607D">
        <w:rPr>
          <w:rFonts w:asciiTheme="minorHAnsi" w:hAnsiTheme="minorHAnsi" w:cstheme="minorHAnsi"/>
        </w:rPr>
        <w:t>High-energy secondary electrons (delta rays) may escape the volume laterally, carrying away part of the deposited energy.</w:t>
      </w:r>
      <w:r w:rsidR="002D6685">
        <w:rPr>
          <w:rFonts w:asciiTheme="minorHAnsi" w:hAnsiTheme="minorHAnsi" w:cstheme="minorHAnsi"/>
        </w:rPr>
        <w:t xml:space="preserve"> </w:t>
      </w:r>
      <w:r w:rsidRPr="00A8607D">
        <w:rPr>
          <w:rFonts w:asciiTheme="minorHAnsi" w:hAnsiTheme="minorHAnsi" w:cstheme="minorHAnsi"/>
        </w:rPr>
        <w:t xml:space="preserve">Whether a </w:t>
      </w:r>
      <w:r w:rsidR="00B571E3" w:rsidRPr="00A8607D">
        <w:rPr>
          <w:rFonts w:asciiTheme="minorHAnsi" w:hAnsiTheme="minorHAnsi" w:cstheme="minorHAnsi"/>
        </w:rPr>
        <w:t>delta</w:t>
      </w:r>
      <w:r w:rsidR="008B3A97">
        <w:rPr>
          <w:rFonts w:asciiTheme="minorHAnsi" w:hAnsiTheme="minorHAnsi" w:cstheme="minorHAnsi"/>
        </w:rPr>
        <w:t xml:space="preserve"> </w:t>
      </w:r>
      <w:r w:rsidR="00B571E3" w:rsidRPr="00A8607D">
        <w:rPr>
          <w:rFonts w:asciiTheme="minorHAnsi" w:hAnsiTheme="minorHAnsi" w:cstheme="minorHAnsi"/>
        </w:rPr>
        <w:t>ray escape</w:t>
      </w:r>
      <w:r w:rsidR="002D6685">
        <w:rPr>
          <w:rFonts w:asciiTheme="minorHAnsi" w:hAnsiTheme="minorHAnsi" w:cstheme="minorHAnsi"/>
        </w:rPr>
        <w:t>s, it</w:t>
      </w:r>
      <w:r w:rsidRPr="00A8607D">
        <w:rPr>
          <w:rFonts w:asciiTheme="minorHAnsi" w:hAnsiTheme="minorHAnsi" w:cstheme="minorHAnsi"/>
        </w:rPr>
        <w:t xml:space="preserve"> depends on its energy (and thus its range), which is governed by the stochastic</w:t>
      </w:r>
      <w:r w:rsidR="002D6685">
        <w:rPr>
          <w:rFonts w:asciiTheme="minorHAnsi" w:hAnsiTheme="minorHAnsi" w:cstheme="minorHAnsi"/>
        </w:rPr>
        <w:t xml:space="preserve">ity </w:t>
      </w:r>
      <w:r w:rsidRPr="00A8607D">
        <w:rPr>
          <w:rFonts w:asciiTheme="minorHAnsi" w:hAnsiTheme="minorHAnsi" w:cstheme="minorHAnsi"/>
        </w:rPr>
        <w:t>of collisions (point b).</w:t>
      </w:r>
      <w:r w:rsidR="002D6685">
        <w:rPr>
          <w:rFonts w:asciiTheme="minorHAnsi" w:hAnsiTheme="minorHAnsi" w:cstheme="minorHAnsi"/>
        </w:rPr>
        <w:t xml:space="preserve"> </w:t>
      </w:r>
      <w:r w:rsidR="008B3A97">
        <w:rPr>
          <w:rFonts w:asciiTheme="minorHAnsi" w:hAnsiTheme="minorHAnsi" w:cstheme="minorHAnsi"/>
        </w:rPr>
        <w:t>The concept of d</w:t>
      </w:r>
      <w:r w:rsidR="002D6685">
        <w:rPr>
          <w:rFonts w:asciiTheme="minorHAnsi" w:hAnsiTheme="minorHAnsi" w:cstheme="minorHAnsi"/>
        </w:rPr>
        <w:t xml:space="preserve">elta-ray escape is useful to </w:t>
      </w:r>
      <w:r w:rsidRPr="00A8607D">
        <w:rPr>
          <w:rFonts w:asciiTheme="minorHAnsi" w:hAnsiTheme="minorHAnsi" w:cstheme="minorHAnsi"/>
        </w:rPr>
        <w:t>underlie the difference between energy loss and energy imparted [Kellerer; Magrin et al., 2022].</w:t>
      </w:r>
    </w:p>
    <w:p w14:paraId="0DB84D43" w14:textId="2A10C0E7" w:rsidR="0022620F" w:rsidRPr="0022620F" w:rsidRDefault="0022620F" w:rsidP="0022620F">
      <w:pPr>
        <w:pStyle w:val="Normal1"/>
        <w:jc w:val="both"/>
        <w:rPr>
          <w:rFonts w:asciiTheme="minorHAnsi" w:hAnsiTheme="minorHAnsi" w:cstheme="minorHAnsi"/>
        </w:rPr>
      </w:pPr>
      <w:bookmarkStart w:id="0" w:name="_Ref163047150"/>
      <w:r w:rsidRPr="0022620F">
        <w:rPr>
          <w:rFonts w:asciiTheme="minorHAnsi" w:hAnsiTheme="minorHAnsi" w:cstheme="minorHAnsi"/>
        </w:rPr>
        <w:t xml:space="preserve">f) Energy </w:t>
      </w:r>
      <w:r w:rsidR="008B3A97" w:rsidRPr="0022620F">
        <w:rPr>
          <w:rFonts w:asciiTheme="minorHAnsi" w:hAnsiTheme="minorHAnsi" w:cstheme="minorHAnsi"/>
        </w:rPr>
        <w:t>spread in accelerated ion beams</w:t>
      </w:r>
    </w:p>
    <w:p w14:paraId="27B1A0EB" w14:textId="75B334F1" w:rsidR="0022620F" w:rsidRDefault="0022620F" w:rsidP="0022620F">
      <w:pPr>
        <w:pStyle w:val="Normal1"/>
        <w:jc w:val="both"/>
        <w:rPr>
          <w:rFonts w:asciiTheme="minorHAnsi" w:hAnsiTheme="minorHAnsi" w:cstheme="minorHAnsi"/>
        </w:rPr>
      </w:pPr>
      <w:r w:rsidRPr="0022620F">
        <w:rPr>
          <w:rFonts w:asciiTheme="minorHAnsi" w:hAnsiTheme="minorHAnsi" w:cstheme="minorHAnsi"/>
        </w:rPr>
        <w:t>In addition to the previously discussed stochastic factors, energy spread in accelerated ion beams represents another source of stochasticity. Although clinical ion beams are often described as monoenergetic, in practice, the energy of individual particles varies within a narrow range. Prior to entering the target, this energy uncertainty is minimal—typically around 0.5% for synchrotrons and 0.1% for cyclotrons.</w:t>
      </w:r>
    </w:p>
    <w:p w14:paraId="50DB6733" w14:textId="78035310"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 xml:space="preserve">However, passive beam-modifying elements such as ripple filters are frequently employed to </w:t>
      </w:r>
      <w:r w:rsidR="008B3A97" w:rsidRPr="0022620F">
        <w:rPr>
          <w:rFonts w:asciiTheme="minorHAnsi" w:hAnsiTheme="minorHAnsi" w:cstheme="minorHAnsi"/>
        </w:rPr>
        <w:t>intentionally</w:t>
      </w:r>
      <w:r w:rsidR="008B3A97" w:rsidRPr="0022620F">
        <w:rPr>
          <w:rFonts w:asciiTheme="minorHAnsi" w:hAnsiTheme="minorHAnsi" w:cstheme="minorHAnsi"/>
        </w:rPr>
        <w:t xml:space="preserve"> </w:t>
      </w:r>
      <w:r w:rsidRPr="0022620F">
        <w:rPr>
          <w:rFonts w:asciiTheme="minorHAnsi" w:hAnsiTheme="minorHAnsi" w:cstheme="minorHAnsi"/>
        </w:rPr>
        <w:t xml:space="preserve">broaden the energy spectrum. This ensures a more uniform dose distribution across treatment voxels and contributes to the formation of a smooth Spread-Out Bragg Peak (SOBP). The resulting energy spread can span </w:t>
      </w:r>
      <w:r w:rsidR="002D6685">
        <w:rPr>
          <w:rFonts w:asciiTheme="minorHAnsi" w:hAnsiTheme="minorHAnsi" w:cstheme="minorHAnsi"/>
        </w:rPr>
        <w:t>a few</w:t>
      </w:r>
      <w:r w:rsidRPr="0022620F">
        <w:rPr>
          <w:rFonts w:asciiTheme="minorHAnsi" w:hAnsiTheme="minorHAnsi" w:cstheme="minorHAnsi"/>
        </w:rPr>
        <w:t xml:space="preserve"> MeV from the nominal energy, and its impact becomes particularly significant at lower energy levels, where even small variations can influence the dose deposition profile and </w:t>
      </w:r>
      <w:r w:rsidR="008B3A97">
        <w:rPr>
          <w:rFonts w:asciiTheme="minorHAnsi" w:hAnsiTheme="minorHAnsi" w:cstheme="minorHAnsi"/>
        </w:rPr>
        <w:t xml:space="preserve">ultimately </w:t>
      </w:r>
      <w:r w:rsidRPr="0022620F">
        <w:rPr>
          <w:rFonts w:asciiTheme="minorHAnsi" w:hAnsiTheme="minorHAnsi" w:cstheme="minorHAnsi"/>
        </w:rPr>
        <w:t>biological effectiveness.</w:t>
      </w:r>
    </w:p>
    <w:p w14:paraId="1DCB48F2" w14:textId="7BA227CA" w:rsidR="0022620F" w:rsidRPr="0022620F" w:rsidRDefault="0022620F" w:rsidP="0022620F">
      <w:pPr>
        <w:pStyle w:val="Normal1"/>
        <w:jc w:val="both"/>
        <w:rPr>
          <w:rFonts w:asciiTheme="minorHAnsi" w:hAnsiTheme="minorHAnsi" w:cstheme="minorHAnsi"/>
        </w:rPr>
      </w:pPr>
      <w:r w:rsidRPr="0022620F">
        <w:rPr>
          <w:rFonts w:asciiTheme="minorHAnsi" w:hAnsiTheme="minorHAnsi" w:cstheme="minorHAnsi"/>
        </w:rPr>
        <w:t>g) Non-</w:t>
      </w:r>
      <w:r w:rsidR="00301FB6" w:rsidRPr="0022620F">
        <w:rPr>
          <w:rFonts w:asciiTheme="minorHAnsi" w:hAnsiTheme="minorHAnsi" w:cstheme="minorHAnsi"/>
        </w:rPr>
        <w:t>stochastic heterogeneity from treatment planning</w:t>
      </w:r>
    </w:p>
    <w:p w14:paraId="07A84EE9" w14:textId="4E01D6AC" w:rsidR="0022620F" w:rsidRPr="0022620F" w:rsidRDefault="00301FB6" w:rsidP="0022620F">
      <w:pPr>
        <w:pStyle w:val="Normal1"/>
        <w:jc w:val="both"/>
        <w:rPr>
          <w:rFonts w:asciiTheme="minorHAnsi" w:hAnsiTheme="minorHAnsi" w:cstheme="minorHAnsi"/>
        </w:rPr>
      </w:pPr>
      <w:r w:rsidRPr="0022620F">
        <w:rPr>
          <w:rFonts w:asciiTheme="minorHAnsi" w:hAnsiTheme="minorHAnsi" w:cstheme="minorHAnsi"/>
        </w:rPr>
        <w:t xml:space="preserve">In </w:t>
      </w:r>
      <w:r w:rsidRPr="0022620F">
        <w:rPr>
          <w:rFonts w:asciiTheme="minorHAnsi" w:hAnsiTheme="minorHAnsi" w:cstheme="minorHAnsi"/>
        </w:rPr>
        <w:t>ion-beam therapy</w:t>
      </w:r>
      <w:r>
        <w:rPr>
          <w:rFonts w:asciiTheme="minorHAnsi" w:hAnsiTheme="minorHAnsi" w:cstheme="minorHAnsi"/>
        </w:rPr>
        <w:t>, i</w:t>
      </w:r>
      <w:r w:rsidR="0022620F" w:rsidRPr="0022620F">
        <w:rPr>
          <w:rFonts w:asciiTheme="minorHAnsi" w:hAnsiTheme="minorHAnsi" w:cstheme="minorHAnsi"/>
        </w:rPr>
        <w:t xml:space="preserve">t is also essential to </w:t>
      </w:r>
      <w:r w:rsidR="000A0D6C">
        <w:rPr>
          <w:rFonts w:asciiTheme="minorHAnsi" w:hAnsiTheme="minorHAnsi" w:cstheme="minorHAnsi"/>
        </w:rPr>
        <w:t>discuss</w:t>
      </w:r>
      <w:r w:rsidR="0022620F" w:rsidRPr="0022620F">
        <w:rPr>
          <w:rFonts w:asciiTheme="minorHAnsi" w:hAnsiTheme="minorHAnsi" w:cstheme="minorHAnsi"/>
        </w:rPr>
        <w:t xml:space="preserve"> </w:t>
      </w:r>
      <w:r w:rsidR="000A0D6C">
        <w:rPr>
          <w:rFonts w:asciiTheme="minorHAnsi" w:hAnsiTheme="minorHAnsi" w:cstheme="minorHAnsi"/>
        </w:rPr>
        <w:t>the</w:t>
      </w:r>
      <w:r w:rsidR="0022620F" w:rsidRPr="0022620F">
        <w:rPr>
          <w:rFonts w:asciiTheme="minorHAnsi" w:hAnsiTheme="minorHAnsi" w:cstheme="minorHAnsi"/>
        </w:rPr>
        <w:t> non-stochastic heterogeneity, which arises from</w:t>
      </w:r>
      <w:r>
        <w:rPr>
          <w:rFonts w:asciiTheme="minorHAnsi" w:hAnsiTheme="minorHAnsi" w:cstheme="minorHAnsi"/>
        </w:rPr>
        <w:t xml:space="preserve"> </w:t>
      </w:r>
      <w:r w:rsidR="0022620F" w:rsidRPr="0022620F">
        <w:rPr>
          <w:rFonts w:asciiTheme="minorHAnsi" w:hAnsiTheme="minorHAnsi" w:cstheme="minorHAnsi"/>
        </w:rPr>
        <w:t>the optimization process of treatment planning. Tumor irradiation is guided by a treatment planning system (TPS) designed to conform both dose and radiation quality to clinical prescription</w:t>
      </w:r>
      <w:r>
        <w:rPr>
          <w:rFonts w:asciiTheme="minorHAnsi" w:hAnsiTheme="minorHAnsi" w:cstheme="minorHAnsi"/>
        </w:rPr>
        <w:t>s</w:t>
      </w:r>
      <w:r>
        <w:rPr>
          <w:rFonts w:asciiTheme="minorHAnsi" w:hAnsiTheme="minorHAnsi" w:cstheme="minorHAnsi"/>
        </w:rPr>
        <w:t xml:space="preserve">, </w:t>
      </w:r>
      <w:r w:rsidRPr="0022620F">
        <w:rPr>
          <w:rFonts w:asciiTheme="minorHAnsi" w:hAnsiTheme="minorHAnsi" w:cstheme="minorHAnsi"/>
        </w:rPr>
        <w:t>to maximize therapeutic effectiveness while minimizing harm to surrounding healthy tissue</w:t>
      </w:r>
      <w:r w:rsidR="0022620F" w:rsidRPr="0022620F">
        <w:rPr>
          <w:rFonts w:asciiTheme="minorHAnsi" w:hAnsiTheme="minorHAnsi" w:cstheme="minorHAnsi"/>
        </w:rPr>
        <w:t>. This is achieved by dynamically adjusting beam parameters</w:t>
      </w:r>
      <w:r w:rsidR="002D6685">
        <w:rPr>
          <w:rFonts w:asciiTheme="minorHAnsi" w:hAnsiTheme="minorHAnsi" w:cstheme="minorHAnsi"/>
        </w:rPr>
        <w:t xml:space="preserve"> of </w:t>
      </w:r>
      <w:r w:rsidR="0022620F" w:rsidRPr="0022620F">
        <w:rPr>
          <w:rFonts w:asciiTheme="minorHAnsi" w:hAnsiTheme="minorHAnsi" w:cstheme="minorHAnsi"/>
        </w:rPr>
        <w:t xml:space="preserve">transverse position, energy, and intensity. Each </w:t>
      </w:r>
      <w:r w:rsidR="0022620F" w:rsidRPr="0022620F">
        <w:rPr>
          <w:rFonts w:asciiTheme="minorHAnsi" w:hAnsiTheme="minorHAnsi" w:cstheme="minorHAnsi"/>
        </w:rPr>
        <w:lastRenderedPageBreak/>
        <w:t>voxel (sub-volume) of the target may receive contributions from dozens of beams with varying energies and directions. As a result, the radiation quality within a single voxel is a</w:t>
      </w:r>
      <w:r w:rsidR="003B7513">
        <w:rPr>
          <w:rFonts w:asciiTheme="minorHAnsi" w:hAnsiTheme="minorHAnsi" w:cstheme="minorHAnsi"/>
        </w:rPr>
        <w:t>n</w:t>
      </w:r>
      <w:r w:rsidR="0022620F" w:rsidRPr="0022620F">
        <w:rPr>
          <w:rFonts w:asciiTheme="minorHAnsi" w:hAnsiTheme="minorHAnsi" w:cstheme="minorHAnsi"/>
        </w:rPr>
        <w:t xml:space="preserve"> </w:t>
      </w:r>
      <w:r w:rsidR="003B7513">
        <w:rPr>
          <w:rFonts w:asciiTheme="minorHAnsi" w:hAnsiTheme="minorHAnsi" w:cstheme="minorHAnsi"/>
        </w:rPr>
        <w:t>aggregate</w:t>
      </w:r>
      <w:r w:rsidR="003B7513" w:rsidRPr="0022620F">
        <w:rPr>
          <w:rFonts w:asciiTheme="minorHAnsi" w:hAnsiTheme="minorHAnsi" w:cstheme="minorHAnsi"/>
        </w:rPr>
        <w:t xml:space="preserve"> </w:t>
      </w:r>
      <w:r w:rsidR="0022620F" w:rsidRPr="0022620F">
        <w:rPr>
          <w:rFonts w:asciiTheme="minorHAnsi" w:hAnsiTheme="minorHAnsi" w:cstheme="minorHAnsi"/>
        </w:rPr>
        <w:t>of multiple beam components. Consequently, the radiation quality distribution in each voxel is unique and differs from neighboring voxels. Although this heterogeneity can be represented by a distribution, it is not stochastic in nature</w:t>
      </w:r>
      <w:r w:rsidR="003B7513">
        <w:rPr>
          <w:rFonts w:asciiTheme="minorHAnsi" w:hAnsiTheme="minorHAnsi" w:cstheme="minorHAnsi"/>
        </w:rPr>
        <w:t xml:space="preserve"> and </w:t>
      </w:r>
      <w:r w:rsidR="0022620F" w:rsidRPr="0022620F">
        <w:rPr>
          <w:rFonts w:asciiTheme="minorHAnsi" w:hAnsiTheme="minorHAnsi" w:cstheme="minorHAnsi"/>
        </w:rPr>
        <w:t>it is</w:t>
      </w:r>
      <w:r w:rsidR="003B7513">
        <w:rPr>
          <w:rFonts w:asciiTheme="minorHAnsi" w:hAnsiTheme="minorHAnsi" w:cstheme="minorHAnsi"/>
        </w:rPr>
        <w:t xml:space="preserve"> instead</w:t>
      </w:r>
      <w:r w:rsidR="0022620F" w:rsidRPr="0022620F">
        <w:rPr>
          <w:rFonts w:asciiTheme="minorHAnsi" w:hAnsiTheme="minorHAnsi" w:cstheme="minorHAnsi"/>
        </w:rPr>
        <w:t xml:space="preserve"> a deterministic outcome of the treatment optimization process. </w:t>
      </w:r>
    </w:p>
    <w:p w14:paraId="4A8A53DB" w14:textId="01F90A4C" w:rsidR="0022620F" w:rsidRPr="0022620F" w:rsidRDefault="00301FB6" w:rsidP="0022620F">
      <w:pPr>
        <w:pStyle w:val="Normal1"/>
        <w:jc w:val="both"/>
        <w:rPr>
          <w:rFonts w:asciiTheme="minorHAnsi" w:hAnsiTheme="minorHAnsi" w:cstheme="minorHAnsi"/>
        </w:rPr>
      </w:pPr>
      <w:r>
        <w:rPr>
          <w:rFonts w:asciiTheme="minorHAnsi" w:hAnsiTheme="minorHAnsi" w:cstheme="minorHAnsi"/>
        </w:rPr>
        <w:t xml:space="preserve">In </w:t>
      </w:r>
      <w:r>
        <w:rPr>
          <w:rFonts w:asciiTheme="minorHAnsi" w:hAnsiTheme="minorHAnsi" w:cstheme="minorHAnsi"/>
        </w:rPr>
        <w:t>some TPS</w:t>
      </w:r>
      <w:r w:rsidR="0022620F" w:rsidRPr="0022620F">
        <w:rPr>
          <w:rFonts w:asciiTheme="minorHAnsi" w:hAnsiTheme="minorHAnsi" w:cstheme="minorHAnsi"/>
        </w:rPr>
        <w:t xml:space="preserve">, </w:t>
      </w:r>
      <w:r w:rsidR="003B7513">
        <w:rPr>
          <w:rFonts w:asciiTheme="minorHAnsi" w:hAnsiTheme="minorHAnsi" w:cstheme="minorHAnsi"/>
        </w:rPr>
        <w:t>the</w:t>
      </w:r>
      <w:r w:rsidR="0022620F" w:rsidRPr="0022620F">
        <w:rPr>
          <w:rFonts w:asciiTheme="minorHAnsi" w:hAnsiTheme="minorHAnsi" w:cstheme="minorHAnsi"/>
        </w:rPr>
        <w:t xml:space="preserve"> role</w:t>
      </w:r>
      <w:r w:rsidR="000A0D6C">
        <w:rPr>
          <w:rFonts w:asciiTheme="minorHAnsi" w:hAnsiTheme="minorHAnsi" w:cstheme="minorHAnsi"/>
        </w:rPr>
        <w:t xml:space="preserve"> of representing </w:t>
      </w:r>
      <w:r w:rsidR="00BA5B28">
        <w:rPr>
          <w:rFonts w:asciiTheme="minorHAnsi" w:hAnsiTheme="minorHAnsi" w:cstheme="minorHAnsi"/>
        </w:rPr>
        <w:t>in each voxel</w:t>
      </w:r>
      <w:r w:rsidR="00BA5B28">
        <w:rPr>
          <w:rFonts w:asciiTheme="minorHAnsi" w:hAnsiTheme="minorHAnsi" w:cstheme="minorHAnsi"/>
        </w:rPr>
        <w:t xml:space="preserve"> </w:t>
      </w:r>
      <w:r w:rsidR="000A0D6C">
        <w:rPr>
          <w:rFonts w:asciiTheme="minorHAnsi" w:hAnsiTheme="minorHAnsi" w:cstheme="minorHAnsi"/>
        </w:rPr>
        <w:t xml:space="preserve">this </w:t>
      </w:r>
      <w:r w:rsidR="003B7513">
        <w:rPr>
          <w:rFonts w:asciiTheme="minorHAnsi" w:hAnsiTheme="minorHAnsi" w:cstheme="minorHAnsi"/>
        </w:rPr>
        <w:t xml:space="preserve">radiation </w:t>
      </w:r>
      <w:r w:rsidR="000A0D6C">
        <w:rPr>
          <w:rFonts w:asciiTheme="minorHAnsi" w:hAnsiTheme="minorHAnsi" w:cstheme="minorHAnsi"/>
        </w:rPr>
        <w:t xml:space="preserve">heterogeneity </w:t>
      </w:r>
      <w:r w:rsidR="0022620F" w:rsidRPr="0022620F">
        <w:rPr>
          <w:rFonts w:asciiTheme="minorHAnsi" w:hAnsiTheme="minorHAnsi" w:cstheme="minorHAnsi"/>
        </w:rPr>
        <w:t xml:space="preserve">is </w:t>
      </w:r>
      <w:r w:rsidRPr="0022620F">
        <w:rPr>
          <w:rFonts w:asciiTheme="minorHAnsi" w:hAnsiTheme="minorHAnsi" w:cstheme="minorHAnsi"/>
        </w:rPr>
        <w:t xml:space="preserve">currently </w:t>
      </w:r>
      <w:r w:rsidR="0022620F" w:rsidRPr="0022620F">
        <w:rPr>
          <w:rFonts w:asciiTheme="minorHAnsi" w:hAnsiTheme="minorHAnsi" w:cstheme="minorHAnsi"/>
        </w:rPr>
        <w:t>fulfilled by </w:t>
      </w:r>
      <w:r>
        <w:rPr>
          <w:rFonts w:asciiTheme="minorHAnsi" w:hAnsiTheme="minorHAnsi" w:cstheme="minorHAnsi"/>
        </w:rPr>
        <w:t xml:space="preserve">the </w:t>
      </w:r>
      <w:r w:rsidR="0022620F" w:rsidRPr="0022620F">
        <w:rPr>
          <w:rFonts w:asciiTheme="minorHAnsi" w:hAnsiTheme="minorHAnsi" w:cstheme="minorHAnsi"/>
        </w:rPr>
        <w:t xml:space="preserve">LET </w:t>
      </w:r>
      <w:r>
        <w:rPr>
          <w:rFonts w:asciiTheme="minorHAnsi" w:hAnsiTheme="minorHAnsi" w:cstheme="minorHAnsi"/>
        </w:rPr>
        <w:t xml:space="preserve">probability </w:t>
      </w:r>
      <w:r w:rsidR="0022620F" w:rsidRPr="0022620F">
        <w:rPr>
          <w:rFonts w:asciiTheme="minorHAnsi" w:hAnsiTheme="minorHAnsi" w:cstheme="minorHAnsi"/>
        </w:rPr>
        <w:t xml:space="preserve">distributions </w:t>
      </w:r>
      <w:r>
        <w:rPr>
          <w:rFonts w:asciiTheme="minorHAnsi" w:hAnsiTheme="minorHAnsi" w:cstheme="minorHAnsi"/>
        </w:rPr>
        <w:t xml:space="preserve">in </w:t>
      </w:r>
      <w:r w:rsidR="0022620F" w:rsidRPr="0022620F">
        <w:rPr>
          <w:rFonts w:asciiTheme="minorHAnsi" w:hAnsiTheme="minorHAnsi" w:cstheme="minorHAnsi"/>
        </w:rPr>
        <w:t xml:space="preserve">dose (or fluence). </w:t>
      </w:r>
    </w:p>
    <w:p w14:paraId="7F916D00" w14:textId="77777777" w:rsidR="007D4473" w:rsidRPr="00F61B1E" w:rsidRDefault="007D4473"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 xml:space="preserve">Stochasticity and non-charged ionizing radiation </w:t>
      </w:r>
    </w:p>
    <w:p w14:paraId="2C210C0C" w14:textId="77777777" w:rsidR="00105767"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 xml:space="preserve">Historical Context: Microdosimetry in </w:t>
      </w:r>
      <w:r w:rsidR="00105767" w:rsidRPr="00F61B1E">
        <w:rPr>
          <w:rFonts w:asciiTheme="minorHAnsi" w:hAnsiTheme="minorHAnsi" w:cstheme="minorHAnsi"/>
          <w:i/>
          <w:iCs/>
          <w:color w:val="auto"/>
        </w:rPr>
        <w:t>photon and neutron fields</w:t>
      </w:r>
      <w:r w:rsidRPr="00F61B1E">
        <w:rPr>
          <w:rFonts w:asciiTheme="minorHAnsi" w:hAnsiTheme="minorHAnsi" w:cstheme="minorHAnsi"/>
          <w:i/>
          <w:iCs/>
          <w:color w:val="auto"/>
        </w:rPr>
        <w:t xml:space="preserve">. </w:t>
      </w:r>
    </w:p>
    <w:p w14:paraId="2E54B1BA" w14:textId="3BDD1951"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At its inception in the 1950s and for several decades thereafter, microdosimetry was primarily concerned with radiation fields composed of photons and neutrons. In these contexts, ionizations arise from indirect interactions. When gamma rays or X-rays traverse biological tissue, their behavior—whether scattering, absorption, or transmission without interaction—is governed by probabilistic processes dependent on the material’s properties. Similarly, neutron interactions such as elastic scattering, inelastic scattering, or capture are dictated by nuclear cross-sections, which are inherently stochastic.</w:t>
      </w:r>
    </w:p>
    <w:p w14:paraId="0232EE49" w14:textId="6B3378D6"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When these neutral particles interact with matter, they may produce secondary charged particles</w:t>
      </w:r>
      <w:r w:rsidR="002D6685">
        <w:rPr>
          <w:rFonts w:asciiTheme="minorHAnsi" w:hAnsiTheme="minorHAnsi" w:cstheme="minorHAnsi"/>
          <w:color w:val="auto"/>
        </w:rPr>
        <w:t xml:space="preserve">, </w:t>
      </w:r>
      <w:r w:rsidRPr="003B26FA">
        <w:rPr>
          <w:rFonts w:asciiTheme="minorHAnsi" w:hAnsiTheme="minorHAnsi" w:cstheme="minorHAnsi"/>
          <w:color w:val="auto"/>
        </w:rPr>
        <w:t>such as photoelectrons or recoil ions</w:t>
      </w:r>
      <w:r w:rsidR="002D6685">
        <w:rPr>
          <w:rFonts w:asciiTheme="minorHAnsi" w:hAnsiTheme="minorHAnsi" w:cstheme="minorHAnsi"/>
          <w:color w:val="auto"/>
        </w:rPr>
        <w:t xml:space="preserve">, </w:t>
      </w:r>
      <w:r w:rsidRPr="003B26FA">
        <w:rPr>
          <w:rFonts w:asciiTheme="minorHAnsi" w:hAnsiTheme="minorHAnsi" w:cstheme="minorHAnsi"/>
          <w:color w:val="auto"/>
        </w:rPr>
        <w:t>which, if they enter the sensitive volume of a detector, are registered as events. These processes correspond to the stochastic mechanisms described in points (a) and (b) of the previous section.</w:t>
      </w:r>
    </w:p>
    <w:p w14:paraId="090FA02D" w14:textId="75617C36" w:rsidR="007D4473"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The resulting microdosimetric spectra reflect two layers of stochasticity</w:t>
      </w:r>
      <w:r w:rsidR="00687CF3">
        <w:rPr>
          <w:rFonts w:asciiTheme="minorHAnsi" w:hAnsiTheme="minorHAnsi" w:cstheme="minorHAnsi"/>
          <w:color w:val="auto"/>
        </w:rPr>
        <w:t>, t</w:t>
      </w:r>
      <w:r w:rsidRPr="003B26FA">
        <w:rPr>
          <w:rFonts w:asciiTheme="minorHAnsi" w:hAnsiTheme="minorHAnsi" w:cstheme="minorHAnsi"/>
          <w:color w:val="auto"/>
        </w:rPr>
        <w:t>he probabilistic generation of secondary charged particles from primary neutral radiation</w:t>
      </w:r>
      <w:r w:rsidR="00687CF3">
        <w:rPr>
          <w:rFonts w:asciiTheme="minorHAnsi" w:hAnsiTheme="minorHAnsi" w:cstheme="minorHAnsi"/>
          <w:color w:val="auto"/>
        </w:rPr>
        <w:t xml:space="preserve"> and t</w:t>
      </w:r>
      <w:r w:rsidRPr="003B26FA">
        <w:rPr>
          <w:rFonts w:asciiTheme="minorHAnsi" w:hAnsiTheme="minorHAnsi" w:cstheme="minorHAnsi"/>
          <w:color w:val="auto"/>
        </w:rPr>
        <w:t>he stochastic interactions of these secondary particles within the detector medium.</w:t>
      </w:r>
      <w:r w:rsidR="006E5D7A">
        <w:rPr>
          <w:rFonts w:asciiTheme="minorHAnsi" w:hAnsiTheme="minorHAnsi" w:cstheme="minorHAnsi"/>
          <w:color w:val="auto"/>
        </w:rPr>
        <w:t xml:space="preserve"> </w:t>
      </w:r>
      <w:r w:rsidRPr="003B26FA">
        <w:rPr>
          <w:rFonts w:asciiTheme="minorHAnsi" w:hAnsiTheme="minorHAnsi" w:cstheme="minorHAnsi"/>
          <w:color w:val="auto"/>
        </w:rPr>
        <w:t>Due to the diversity of particle types and energies involved, the radiation quality in such fields is highly heterogeneous</w:t>
      </w:r>
      <w:r w:rsidR="00687CF3">
        <w:rPr>
          <w:rFonts w:asciiTheme="minorHAnsi" w:hAnsiTheme="minorHAnsi" w:cstheme="minorHAnsi"/>
          <w:color w:val="auto"/>
        </w:rPr>
        <w:t xml:space="preserve"> and</w:t>
      </w:r>
      <w:r w:rsidRPr="003B26FA">
        <w:rPr>
          <w:rFonts w:asciiTheme="minorHAnsi" w:hAnsiTheme="minorHAnsi" w:cstheme="minorHAnsi"/>
          <w:color w:val="auto"/>
        </w:rPr>
        <w:t xml:space="preserve"> the microdosimetric spectra span several orders of magnitude </w:t>
      </w:r>
      <w:r w:rsidR="00687CF3">
        <w:rPr>
          <w:rFonts w:asciiTheme="minorHAnsi" w:hAnsiTheme="minorHAnsi" w:cstheme="minorHAnsi"/>
          <w:color w:val="auto"/>
        </w:rPr>
        <w:t>of</w:t>
      </w:r>
      <w:r w:rsidRPr="003B26FA">
        <w:rPr>
          <w:rFonts w:asciiTheme="minorHAnsi" w:hAnsiTheme="minorHAnsi" w:cstheme="minorHAnsi"/>
          <w:color w:val="auto"/>
        </w:rPr>
        <w:t xml:space="preserve"> lineal energy.</w:t>
      </w:r>
      <w:r>
        <w:rPr>
          <w:rFonts w:asciiTheme="minorHAnsi" w:hAnsiTheme="minorHAnsi" w:cstheme="minorHAnsi"/>
          <w:color w:val="auto"/>
        </w:rPr>
        <w:t xml:space="preserve"> </w:t>
      </w:r>
    </w:p>
    <w:p w14:paraId="78D70049" w14:textId="30E38952" w:rsidR="00F61B1E" w:rsidRDefault="003B26FA" w:rsidP="003B26FA">
      <w:pPr>
        <w:pStyle w:val="Normal1"/>
        <w:jc w:val="both"/>
        <w:rPr>
          <w:rFonts w:asciiTheme="minorHAnsi" w:hAnsiTheme="minorHAnsi" w:cstheme="minorHAnsi"/>
          <w:i/>
          <w:iCs/>
          <w:color w:val="auto"/>
        </w:rPr>
      </w:pPr>
      <w:r w:rsidRPr="00F61B1E">
        <w:rPr>
          <w:rFonts w:asciiTheme="minorHAnsi" w:hAnsiTheme="minorHAnsi" w:cstheme="minorHAnsi"/>
          <w:i/>
          <w:iCs/>
          <w:color w:val="auto"/>
        </w:rPr>
        <w:t xml:space="preserve">Illustrative </w:t>
      </w:r>
      <w:r w:rsidR="006E5D7A" w:rsidRPr="00F61B1E">
        <w:rPr>
          <w:rFonts w:asciiTheme="minorHAnsi" w:hAnsiTheme="minorHAnsi" w:cstheme="minorHAnsi"/>
          <w:i/>
          <w:iCs/>
          <w:color w:val="auto"/>
        </w:rPr>
        <w:t>example: Mixed photon-neutron field</w:t>
      </w:r>
      <w:r w:rsidR="00F61B1E">
        <w:rPr>
          <w:rFonts w:asciiTheme="minorHAnsi" w:hAnsiTheme="minorHAnsi" w:cstheme="minorHAnsi"/>
          <w:i/>
          <w:iCs/>
          <w:color w:val="auto"/>
        </w:rPr>
        <w:t xml:space="preserve">. </w:t>
      </w:r>
    </w:p>
    <w:p w14:paraId="3BE43ABE" w14:textId="19D7C45D"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 xml:space="preserve">Figure </w:t>
      </w:r>
      <w:r w:rsidR="00A25F3E">
        <w:rPr>
          <w:rFonts w:asciiTheme="minorHAnsi" w:hAnsiTheme="minorHAnsi" w:cstheme="minorHAnsi"/>
          <w:color w:val="auto"/>
        </w:rPr>
        <w:t>1</w:t>
      </w:r>
      <w:r w:rsidRPr="003B26FA">
        <w:rPr>
          <w:rFonts w:asciiTheme="minorHAnsi" w:hAnsiTheme="minorHAnsi" w:cstheme="minorHAnsi"/>
          <w:color w:val="auto"/>
        </w:rPr>
        <w:t xml:space="preserve"> presents a conceptual illustration of a microdosimetric spectrum measured using a spherical tissue-equivalent proportional counter (TEPC) simulating a </w:t>
      </w:r>
      <w:r w:rsidR="006E5D7A" w:rsidRPr="003B26FA">
        <w:rPr>
          <w:rFonts w:asciiTheme="minorHAnsi" w:hAnsiTheme="minorHAnsi" w:cstheme="minorHAnsi"/>
          <w:color w:val="auto"/>
        </w:rPr>
        <w:t xml:space="preserve">tissue volume </w:t>
      </w:r>
      <w:r w:rsidR="006E5D7A">
        <w:rPr>
          <w:rFonts w:asciiTheme="minorHAnsi" w:hAnsiTheme="minorHAnsi" w:cstheme="minorHAnsi"/>
          <w:color w:val="auto"/>
        </w:rPr>
        <w:t xml:space="preserve">of </w:t>
      </w:r>
      <w:r w:rsidRPr="003B26FA">
        <w:rPr>
          <w:rFonts w:asciiTheme="minorHAnsi" w:hAnsiTheme="minorHAnsi" w:cstheme="minorHAnsi"/>
          <w:color w:val="auto"/>
        </w:rPr>
        <w:t>1</w:t>
      </w:r>
      <w:r w:rsidR="006E5D7A">
        <w:rPr>
          <w:rFonts w:asciiTheme="minorHAnsi" w:hAnsiTheme="minorHAnsi" w:cstheme="minorHAnsi"/>
          <w:color w:val="auto"/>
        </w:rPr>
        <w:t xml:space="preserve"> </w:t>
      </w:r>
      <w:r w:rsidRPr="003B26FA">
        <w:rPr>
          <w:rFonts w:asciiTheme="minorHAnsi" w:hAnsiTheme="minorHAnsi" w:cstheme="minorHAnsi"/>
          <w:color w:val="auto"/>
        </w:rPr>
        <w:t>µm, exposed to a mixed photon-neutron field with neutron energies of a few MeV. This figure is intended for explanatory purposes and does not represent empirical data.</w:t>
      </w:r>
      <w:r>
        <w:rPr>
          <w:rFonts w:asciiTheme="minorHAnsi" w:hAnsiTheme="minorHAnsi" w:cstheme="minorHAnsi"/>
          <w:color w:val="auto"/>
        </w:rPr>
        <w:t xml:space="preserve"> </w:t>
      </w:r>
      <w:r w:rsidRPr="003B26FA">
        <w:rPr>
          <w:rFonts w:asciiTheme="minorHAnsi" w:hAnsiTheme="minorHAnsi" w:cstheme="minorHAnsi"/>
          <w:color w:val="auto"/>
        </w:rPr>
        <w:t>The spectrum extends from approximately 10 eV/µm to 1000 keV/µm</w:t>
      </w:r>
      <w:r w:rsidR="006E5D7A">
        <w:rPr>
          <w:rFonts w:asciiTheme="minorHAnsi" w:hAnsiTheme="minorHAnsi" w:cstheme="minorHAnsi"/>
          <w:color w:val="auto"/>
        </w:rPr>
        <w:t xml:space="preserve">. </w:t>
      </w:r>
    </w:p>
    <w:p w14:paraId="632A28F1" w14:textId="64B543F1" w:rsidR="003B26FA" w:rsidRP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 xml:space="preserve">Gamma radiation contributes to the lower end of the spectrum, typically from a few eV/µm up to </w:t>
      </w:r>
      <w:r w:rsidR="006E5D7A">
        <w:rPr>
          <w:rFonts w:asciiTheme="minorHAnsi" w:hAnsiTheme="minorHAnsi" w:cstheme="minorHAnsi"/>
          <w:color w:val="auto"/>
        </w:rPr>
        <w:t>10 </w:t>
      </w:r>
      <w:r w:rsidRPr="003B26FA">
        <w:rPr>
          <w:rFonts w:asciiTheme="minorHAnsi" w:hAnsiTheme="minorHAnsi" w:cstheme="minorHAnsi"/>
          <w:color w:val="auto"/>
        </w:rPr>
        <w:t>keV/µm.</w:t>
      </w:r>
    </w:p>
    <w:p w14:paraId="18D2E6D4" w14:textId="2E303D74" w:rsidR="003B26FA" w:rsidRDefault="003B26FA" w:rsidP="003B26FA">
      <w:pPr>
        <w:pStyle w:val="Normal1"/>
        <w:jc w:val="both"/>
        <w:rPr>
          <w:rFonts w:asciiTheme="minorHAnsi" w:hAnsiTheme="minorHAnsi" w:cstheme="minorHAnsi"/>
          <w:color w:val="auto"/>
        </w:rPr>
      </w:pPr>
      <w:r w:rsidRPr="003B26FA">
        <w:rPr>
          <w:rFonts w:asciiTheme="minorHAnsi" w:hAnsiTheme="minorHAnsi" w:cstheme="minorHAnsi"/>
          <w:color w:val="auto"/>
        </w:rPr>
        <w:t>Neutrons, through interactions with atomic nuclei in the medium, produce a variety of secondary ions differing in type, energy, and direction. These ions populate distinct regions of the spectrum.</w:t>
      </w:r>
      <w:r>
        <w:rPr>
          <w:rFonts w:asciiTheme="minorHAnsi" w:hAnsiTheme="minorHAnsi" w:cstheme="minorHAnsi"/>
          <w:color w:val="auto"/>
        </w:rPr>
        <w:t xml:space="preserve"> </w:t>
      </w:r>
      <w:r w:rsidRPr="003B26FA">
        <w:rPr>
          <w:rFonts w:asciiTheme="minorHAnsi" w:hAnsiTheme="minorHAnsi" w:cstheme="minorHAnsi"/>
          <w:color w:val="auto"/>
        </w:rPr>
        <w:t>Recoil protons dominate the mid-range, typically tens of keV/µm</w:t>
      </w:r>
      <w:r w:rsidR="006E5D7A">
        <w:rPr>
          <w:rFonts w:asciiTheme="minorHAnsi" w:hAnsiTheme="minorHAnsi" w:cstheme="minorHAnsi"/>
          <w:color w:val="auto"/>
        </w:rPr>
        <w:t xml:space="preserve"> up to approximately 100 </w:t>
      </w:r>
      <w:r w:rsidR="006E5D7A" w:rsidRPr="003B26FA">
        <w:rPr>
          <w:rFonts w:asciiTheme="minorHAnsi" w:hAnsiTheme="minorHAnsi" w:cstheme="minorHAnsi"/>
          <w:color w:val="auto"/>
        </w:rPr>
        <w:t>keV/µm</w:t>
      </w:r>
      <w:r w:rsidRPr="003B26FA">
        <w:rPr>
          <w:rFonts w:asciiTheme="minorHAnsi" w:hAnsiTheme="minorHAnsi" w:cstheme="minorHAnsi"/>
          <w:color w:val="auto"/>
        </w:rPr>
        <w:t>.</w:t>
      </w:r>
      <w:r>
        <w:rPr>
          <w:rFonts w:asciiTheme="minorHAnsi" w:hAnsiTheme="minorHAnsi" w:cstheme="minorHAnsi"/>
          <w:color w:val="auto"/>
        </w:rPr>
        <w:t xml:space="preserve"> </w:t>
      </w:r>
      <w:r w:rsidRPr="003B26FA">
        <w:rPr>
          <w:rFonts w:asciiTheme="minorHAnsi" w:hAnsiTheme="minorHAnsi" w:cstheme="minorHAnsi"/>
          <w:color w:val="auto"/>
        </w:rPr>
        <w:t>Heavier ions (e.g., carbon, oxygen) contribute to the higher end, extending up to 1000 keV/µm.</w:t>
      </w:r>
    </w:p>
    <w:p w14:paraId="57CD4871" w14:textId="4C8A70B8" w:rsidR="007D4473" w:rsidRDefault="007D4473" w:rsidP="007D4473">
      <w:pPr>
        <w:pStyle w:val="Normal1"/>
        <w:jc w:val="both"/>
        <w:rPr>
          <w:rFonts w:asciiTheme="minorHAnsi" w:hAnsiTheme="minorHAnsi" w:cstheme="minorHAnsi"/>
        </w:rPr>
      </w:pPr>
      <w:r w:rsidRPr="007D4473">
        <w:rPr>
          <w:rFonts w:asciiTheme="minorHAnsi" w:hAnsiTheme="minorHAnsi" w:cstheme="minorHAnsi"/>
          <w:noProof/>
        </w:rPr>
        <w:drawing>
          <wp:inline distT="0" distB="0" distL="0" distR="0" wp14:anchorId="6B962C7E" wp14:editId="58AEB8EF">
            <wp:extent cx="2672450" cy="1344015"/>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8" cstate="print">
                      <a:extLst>
                        <a:ext uri="{28A0092B-C50C-407E-A947-70E740481C1C}">
                          <a14:useLocalDpi xmlns:a14="http://schemas.microsoft.com/office/drawing/2010/main" val="0"/>
                        </a:ext>
                      </a:extLst>
                    </a:blip>
                    <a:srcRect t="11611"/>
                    <a:stretch>
                      <a:fillRect/>
                    </a:stretch>
                  </pic:blipFill>
                  <pic:spPr>
                    <a:xfrm>
                      <a:off x="0" y="0"/>
                      <a:ext cx="2694203" cy="1354955"/>
                    </a:xfrm>
                    <a:prstGeom prst="rect">
                      <a:avLst/>
                    </a:prstGeom>
                  </pic:spPr>
                </pic:pic>
              </a:graphicData>
            </a:graphic>
          </wp:inline>
        </w:drawing>
      </w:r>
    </w:p>
    <w:p w14:paraId="761314AA" w14:textId="3E48C623" w:rsidR="00846162" w:rsidRDefault="00846162" w:rsidP="00846162">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A25F3E">
        <w:rPr>
          <w:rFonts w:asciiTheme="minorHAnsi" w:hAnsiTheme="minorHAnsi" w:cstheme="minorHAnsi"/>
          <w:b/>
          <w:bCs/>
          <w:i/>
          <w:iCs/>
          <w:sz w:val="18"/>
          <w:szCs w:val="18"/>
        </w:rPr>
        <w:t>1</w:t>
      </w:r>
      <w:r w:rsidRPr="00846162">
        <w:rPr>
          <w:rFonts w:asciiTheme="minorHAnsi" w:hAnsiTheme="minorHAnsi" w:cstheme="minorHAnsi"/>
          <w:sz w:val="18"/>
          <w:szCs w:val="18"/>
        </w:rPr>
        <w:t>: Illustrative representation of a lineal-energy spectrum for a mixed photon-neutron field (neutron energy</w:t>
      </w:r>
      <w:r>
        <w:rPr>
          <w:rFonts w:asciiTheme="minorHAnsi" w:hAnsiTheme="minorHAnsi" w:cstheme="minorHAnsi"/>
          <w:sz w:val="18"/>
          <w:szCs w:val="18"/>
        </w:rPr>
        <w:t xml:space="preserve"> of a </w:t>
      </w:r>
      <w:r w:rsidRPr="00846162">
        <w:rPr>
          <w:rFonts w:asciiTheme="minorHAnsi" w:hAnsiTheme="minorHAnsi" w:cstheme="minorHAnsi"/>
          <w:sz w:val="18"/>
          <w:szCs w:val="18"/>
        </w:rPr>
        <w:t>few MeV), measured with a spherical microdosimeter simulating 1 µm of tissue.</w:t>
      </w:r>
      <w:r>
        <w:rPr>
          <w:rFonts w:asciiTheme="minorHAnsi" w:hAnsiTheme="minorHAnsi" w:cstheme="minorHAnsi"/>
          <w:sz w:val="18"/>
          <w:szCs w:val="18"/>
        </w:rPr>
        <w:t xml:space="preserve"> </w:t>
      </w:r>
      <w:r w:rsidRPr="00846162">
        <w:rPr>
          <w:rFonts w:asciiTheme="minorHAnsi" w:hAnsiTheme="minorHAnsi" w:cstheme="minorHAnsi"/>
          <w:sz w:val="18"/>
          <w:szCs w:val="18"/>
        </w:rPr>
        <w:t>For actual experimental data, refer</w:t>
      </w:r>
      <w:r w:rsidR="00A25F3E">
        <w:rPr>
          <w:rFonts w:asciiTheme="minorHAnsi" w:hAnsiTheme="minorHAnsi" w:cstheme="minorHAnsi"/>
          <w:sz w:val="18"/>
          <w:szCs w:val="18"/>
        </w:rPr>
        <w:t>, for instance,</w:t>
      </w:r>
      <w:r w:rsidRPr="00846162">
        <w:rPr>
          <w:rFonts w:asciiTheme="minorHAnsi" w:hAnsiTheme="minorHAnsi" w:cstheme="minorHAnsi"/>
          <w:sz w:val="18"/>
          <w:szCs w:val="18"/>
        </w:rPr>
        <w:t xml:space="preserve"> to ICRU Report 98, Figure 6.1 (not reproduced here due to copyright restrictions).</w:t>
      </w:r>
    </w:p>
    <w:p w14:paraId="5C382A91" w14:textId="17179B10" w:rsidR="00545A7A" w:rsidRPr="00F61B1E" w:rsidRDefault="00545A7A" w:rsidP="00723524">
      <w:pPr>
        <w:keepNext/>
        <w:keepLines/>
        <w:numPr>
          <w:ilvl w:val="0"/>
          <w:numId w:val="1"/>
        </w:numPr>
        <w:spacing w:before="40" w:after="0"/>
        <w:jc w:val="both"/>
        <w:outlineLvl w:val="1"/>
        <w:rPr>
          <w:rFonts w:ascii="Calibri" w:eastAsiaTheme="majorEastAsia" w:hAnsi="Calibri" w:cs="Arial"/>
          <w:b/>
          <w:bCs/>
          <w:sz w:val="20"/>
          <w:szCs w:val="20"/>
        </w:rPr>
      </w:pPr>
      <w:r w:rsidRPr="00F61B1E">
        <w:rPr>
          <w:rFonts w:ascii="Calibri" w:eastAsiaTheme="majorEastAsia" w:hAnsi="Calibri" w:cs="Arial"/>
          <w:b/>
          <w:bCs/>
          <w:sz w:val="20"/>
          <w:szCs w:val="20"/>
        </w:rPr>
        <w:t>Stochasticity and Charged Ionizing Radiation</w:t>
      </w:r>
    </w:p>
    <w:p w14:paraId="36B15F7A" w14:textId="2ABBBF23"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As discussed in the previous section, for indirectly ionizing radiation (e.g., photons and neutrons), the energy imparted to a micrometric site result entirely from random processes. Consequently, microdosimetric spectra in such fields fully reflect the stochastic nature of energy deposition. This historical context has contributed to a strong lexical and conceptual association between microdosimetry and stochasticity</w:t>
      </w:r>
      <w:r w:rsidR="00A25F3E">
        <w:rPr>
          <w:rFonts w:asciiTheme="minorHAnsi" w:hAnsiTheme="minorHAnsi" w:cstheme="minorHAnsi"/>
          <w:color w:val="auto"/>
        </w:rPr>
        <w:t xml:space="preserve">, </w:t>
      </w:r>
      <w:r w:rsidRPr="00545A7A">
        <w:rPr>
          <w:rFonts w:asciiTheme="minorHAnsi" w:hAnsiTheme="minorHAnsi" w:cstheme="minorHAnsi"/>
          <w:color w:val="auto"/>
        </w:rPr>
        <w:t>an association that persists even in the context of directly ionizing particles, such as those used in ion-beam therapy.</w:t>
      </w:r>
      <w:r w:rsidR="00EB1D63">
        <w:rPr>
          <w:rFonts w:asciiTheme="minorHAnsi" w:hAnsiTheme="minorHAnsi" w:cstheme="minorHAnsi"/>
          <w:color w:val="auto"/>
        </w:rPr>
        <w:t xml:space="preserve"> </w:t>
      </w:r>
      <w:r w:rsidR="00EB1D63">
        <w:rPr>
          <w:rFonts w:asciiTheme="minorHAnsi" w:hAnsiTheme="minorHAnsi" w:cstheme="minorHAnsi"/>
          <w:color w:val="auto"/>
        </w:rPr>
        <w:lastRenderedPageBreak/>
        <w:t>A</w:t>
      </w:r>
      <w:r w:rsidRPr="00545A7A">
        <w:rPr>
          <w:rFonts w:asciiTheme="minorHAnsi" w:hAnsiTheme="minorHAnsi" w:cstheme="minorHAnsi"/>
          <w:color w:val="auto"/>
        </w:rPr>
        <w:t xml:space="preserve"> critical reassessment is necessary. </w:t>
      </w:r>
      <w:r w:rsidR="00EB1D63">
        <w:rPr>
          <w:rFonts w:asciiTheme="minorHAnsi" w:hAnsiTheme="minorHAnsi" w:cstheme="minorHAnsi"/>
          <w:color w:val="auto"/>
        </w:rPr>
        <w:t>I</w:t>
      </w:r>
      <w:r w:rsidR="00EB1D63" w:rsidRPr="00545A7A">
        <w:rPr>
          <w:rFonts w:asciiTheme="minorHAnsi" w:hAnsiTheme="minorHAnsi" w:cstheme="minorHAnsi"/>
          <w:color w:val="auto"/>
        </w:rPr>
        <w:t>n ion-beam therapy,</w:t>
      </w:r>
      <w:r w:rsidRPr="00545A7A">
        <w:rPr>
          <w:rFonts w:asciiTheme="minorHAnsi" w:hAnsiTheme="minorHAnsi" w:cstheme="minorHAnsi"/>
          <w:color w:val="auto"/>
        </w:rPr>
        <w:t xml:space="preserve"> stochastic and non-stochastic elements coexist, and their contributions must be carefully disentangled [see Kellerer</w:t>
      </w:r>
      <w:r w:rsidR="00D7570C">
        <w:rPr>
          <w:rFonts w:asciiTheme="minorHAnsi" w:hAnsiTheme="minorHAnsi" w:cstheme="minorHAnsi"/>
          <w:color w:val="auto"/>
        </w:rPr>
        <w:t xml:space="preserve"> 1972</w:t>
      </w:r>
      <w:r w:rsidRPr="00545A7A">
        <w:rPr>
          <w:rFonts w:asciiTheme="minorHAnsi" w:hAnsiTheme="minorHAnsi" w:cstheme="minorHAnsi"/>
          <w:color w:val="auto"/>
        </w:rPr>
        <w:t>].</w:t>
      </w:r>
    </w:p>
    <w:p w14:paraId="5B58F61B" w14:textId="0991C048" w:rsidR="00545A7A" w:rsidRPr="00545A7A" w:rsidRDefault="00545A7A" w:rsidP="00545A7A">
      <w:pPr>
        <w:pStyle w:val="Normal1"/>
        <w:jc w:val="both"/>
        <w:rPr>
          <w:rFonts w:asciiTheme="minorHAnsi" w:hAnsiTheme="minorHAnsi" w:cstheme="minorHAnsi"/>
          <w:b/>
          <w:bCs/>
          <w:color w:val="auto"/>
        </w:rPr>
      </w:pPr>
      <w:r w:rsidRPr="00545A7A">
        <w:rPr>
          <w:rFonts w:asciiTheme="minorHAnsi" w:hAnsiTheme="minorHAnsi" w:cstheme="minorHAnsi"/>
          <w:b/>
          <w:bCs/>
          <w:color w:val="auto"/>
        </w:rPr>
        <w:t xml:space="preserve">Mixed </w:t>
      </w:r>
      <w:r w:rsidR="006C62D1" w:rsidRPr="00545A7A">
        <w:rPr>
          <w:rFonts w:asciiTheme="minorHAnsi" w:hAnsiTheme="minorHAnsi" w:cstheme="minorHAnsi"/>
          <w:b/>
          <w:bCs/>
          <w:color w:val="auto"/>
        </w:rPr>
        <w:t>contributions in microdosimetric spectra</w:t>
      </w:r>
    </w:p>
    <w:p w14:paraId="7EE6564D" w14:textId="74EF8C00"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To illustrate this dual nature, </w:t>
      </w:r>
      <w:r w:rsidR="00EB1D63">
        <w:rPr>
          <w:rFonts w:asciiTheme="minorHAnsi" w:hAnsiTheme="minorHAnsi" w:cstheme="minorHAnsi"/>
          <w:color w:val="auto"/>
        </w:rPr>
        <w:t xml:space="preserve">let us </w:t>
      </w:r>
      <w:r w:rsidRPr="00545A7A">
        <w:rPr>
          <w:rFonts w:asciiTheme="minorHAnsi" w:hAnsiTheme="minorHAnsi" w:cstheme="minorHAnsi"/>
          <w:color w:val="auto"/>
        </w:rPr>
        <w:t xml:space="preserve">consider the experimental microdosimetric characterization of a monoenergetic carbon-ion beam, as performed at MedAustron. Figure </w:t>
      </w:r>
      <w:r w:rsidR="00446AEF">
        <w:rPr>
          <w:rFonts w:asciiTheme="minorHAnsi" w:hAnsiTheme="minorHAnsi" w:cstheme="minorHAnsi"/>
          <w:color w:val="auto"/>
        </w:rPr>
        <w:t>2</w:t>
      </w:r>
      <w:r w:rsidRPr="00545A7A">
        <w:rPr>
          <w:rFonts w:asciiTheme="minorHAnsi" w:hAnsiTheme="minorHAnsi" w:cstheme="minorHAnsi"/>
          <w:color w:val="auto"/>
        </w:rPr>
        <w:t xml:space="preserve"> presents a lineal-energy frequency spectrum collected using a silicon microdosimeter in a 118 MeV/u carbon-ion beam. Several key features of the spectrum highlight both stochastic and non-stochastic components:</w:t>
      </w:r>
    </w:p>
    <w:p w14:paraId="71E8370F" w14:textId="777777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A: Unrestricted LET</w:t>
      </w:r>
    </w:p>
    <w:p w14:paraId="74952033" w14:textId="42273ED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The value of the unrestricted LET indicated by </w:t>
      </w:r>
      <w:r w:rsidR="00EB1D63">
        <w:rPr>
          <w:rFonts w:asciiTheme="minorHAnsi" w:hAnsiTheme="minorHAnsi" w:cstheme="minorHAnsi"/>
          <w:color w:val="auto"/>
        </w:rPr>
        <w:t xml:space="preserve">the letter </w:t>
      </w:r>
      <w:r w:rsidRPr="00545A7A">
        <w:rPr>
          <w:rFonts w:asciiTheme="minorHAnsi" w:hAnsiTheme="minorHAnsi" w:cstheme="minorHAnsi"/>
          <w:color w:val="auto"/>
        </w:rPr>
        <w:t xml:space="preserve">A, is a non-stochastic quantity. </w:t>
      </w:r>
    </w:p>
    <w:p w14:paraId="01D3A169" w14:textId="7CCAF54D"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B: Peak </w:t>
      </w:r>
      <w:r w:rsidR="00EB1D63" w:rsidRPr="00545A7A">
        <w:rPr>
          <w:rFonts w:asciiTheme="minorHAnsi" w:hAnsiTheme="minorHAnsi" w:cstheme="minorHAnsi"/>
          <w:color w:val="auto"/>
        </w:rPr>
        <w:t>lineal energy</w:t>
      </w:r>
    </w:p>
    <w:p w14:paraId="0FCE0537" w14:textId="2F934672"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peak value of the distribution (</w:t>
      </w:r>
      <w:r w:rsidR="00EB1D63">
        <w:rPr>
          <w:rFonts w:asciiTheme="minorHAnsi" w:hAnsiTheme="minorHAnsi" w:cstheme="minorHAnsi"/>
          <w:color w:val="auto"/>
        </w:rPr>
        <w:t xml:space="preserve">indicated by the letter </w:t>
      </w:r>
      <w:r w:rsidRPr="00545A7A">
        <w:rPr>
          <w:rFonts w:asciiTheme="minorHAnsi" w:hAnsiTheme="minorHAnsi" w:cstheme="minorHAnsi"/>
          <w:color w:val="auto"/>
        </w:rPr>
        <w:t xml:space="preserve">B), as well as other statistical descriptors such as the mean, are also non-stochastic. </w:t>
      </w:r>
      <w:r w:rsidR="00EB1D63">
        <w:rPr>
          <w:rFonts w:asciiTheme="minorHAnsi" w:hAnsiTheme="minorHAnsi" w:cstheme="minorHAnsi"/>
          <w:color w:val="auto"/>
        </w:rPr>
        <w:t>In non-monoenergetic radiation, t</w:t>
      </w:r>
      <w:r w:rsidRPr="00545A7A">
        <w:rPr>
          <w:rFonts w:asciiTheme="minorHAnsi" w:hAnsiTheme="minorHAnsi" w:cstheme="minorHAnsi"/>
          <w:color w:val="auto"/>
        </w:rPr>
        <w:t xml:space="preserve">hese values are commonly used in comparisons between microdosimetric means </w:t>
      </w:r>
      <w:r w:rsidRPr="00C369DA">
        <w:rPr>
          <w:rFonts w:asciiTheme="minorHAnsi" w:hAnsiTheme="minorHAnsi" w:cstheme="minorHAnsi"/>
          <w:color w:val="auto"/>
        </w:rPr>
        <w:t>(ȳ</w:t>
      </w:r>
      <w:r w:rsidRPr="00C369DA">
        <w:rPr>
          <w:rFonts w:asciiTheme="minorHAnsi" w:hAnsiTheme="minorHAnsi" w:cstheme="minorHAnsi"/>
          <w:color w:val="auto"/>
          <w:vertAlign w:val="subscript"/>
        </w:rPr>
        <w:t>D</w:t>
      </w:r>
      <w:r w:rsidRPr="00C369DA">
        <w:rPr>
          <w:rFonts w:asciiTheme="minorHAnsi" w:hAnsiTheme="minorHAnsi" w:cstheme="minorHAnsi"/>
          <w:color w:val="auto"/>
        </w:rPr>
        <w:t xml:space="preserve"> and ȳ</w:t>
      </w:r>
      <w:r w:rsidRPr="00C369DA">
        <w:rPr>
          <w:rFonts w:asciiTheme="minorHAnsi" w:hAnsiTheme="minorHAnsi" w:cstheme="minorHAnsi"/>
          <w:color w:val="auto"/>
          <w:vertAlign w:val="subscript"/>
        </w:rPr>
        <w:t>F</w:t>
      </w:r>
      <w:r w:rsidRPr="00C369DA">
        <w:rPr>
          <w:rFonts w:asciiTheme="minorHAnsi" w:hAnsiTheme="minorHAnsi" w:cstheme="minorHAnsi"/>
          <w:color w:val="auto"/>
        </w:rPr>
        <w:t xml:space="preserve">) </w:t>
      </w:r>
      <w:r w:rsidRPr="00545A7A">
        <w:rPr>
          <w:rFonts w:asciiTheme="minorHAnsi" w:hAnsiTheme="minorHAnsi" w:cstheme="minorHAnsi"/>
          <w:color w:val="auto"/>
        </w:rPr>
        <w:t>and LET-based metrics (LETd</w:t>
      </w:r>
      <w:r>
        <w:rPr>
          <w:rFonts w:asciiTheme="minorHAnsi" w:hAnsiTheme="minorHAnsi" w:cstheme="minorHAnsi"/>
          <w:color w:val="auto"/>
        </w:rPr>
        <w:t xml:space="preserve"> and LETt)</w:t>
      </w:r>
      <w:r w:rsidRPr="00545A7A">
        <w:rPr>
          <w:rFonts w:asciiTheme="minorHAnsi" w:hAnsiTheme="minorHAnsi" w:cstheme="minorHAnsi"/>
          <w:color w:val="auto"/>
        </w:rPr>
        <w:t>, as documented across various beamlines and institutions.</w:t>
      </w:r>
    </w:p>
    <w:p w14:paraId="6DAABBC9" w14:textId="4E297864"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C: FWHM of the Gaussian </w:t>
      </w:r>
      <w:r w:rsidR="00EB1D63" w:rsidRPr="00545A7A">
        <w:rPr>
          <w:rFonts w:asciiTheme="minorHAnsi" w:hAnsiTheme="minorHAnsi" w:cstheme="minorHAnsi"/>
          <w:color w:val="auto"/>
        </w:rPr>
        <w:t>profile</w:t>
      </w:r>
    </w:p>
    <w:p w14:paraId="49F2FFAF" w14:textId="690F264D"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full width at half maximum (FWHM) of the Gaussian curve (</w:t>
      </w:r>
      <w:r w:rsidR="00687CF3">
        <w:rPr>
          <w:rFonts w:asciiTheme="minorHAnsi" w:hAnsiTheme="minorHAnsi" w:cstheme="minorHAnsi"/>
          <w:color w:val="auto"/>
        </w:rPr>
        <w:t>interval</w:t>
      </w:r>
      <w:r w:rsidRPr="00545A7A">
        <w:rPr>
          <w:rFonts w:asciiTheme="minorHAnsi" w:hAnsiTheme="minorHAnsi" w:cstheme="minorHAnsi"/>
          <w:color w:val="auto"/>
        </w:rPr>
        <w:t xml:space="preserve"> C) </w:t>
      </w:r>
      <w:r w:rsidRPr="00545A7A">
        <w:rPr>
          <w:rFonts w:asciiTheme="minorHAnsi" w:hAnsiTheme="minorHAnsi" w:cstheme="minorHAnsi"/>
          <w:b/>
          <w:bCs/>
          <w:color w:val="auto"/>
        </w:rPr>
        <w:t>reflects the stochastic nature of energy deposition events</w:t>
      </w:r>
      <w:r w:rsidRPr="00545A7A">
        <w:rPr>
          <w:rFonts w:asciiTheme="minorHAnsi" w:hAnsiTheme="minorHAnsi" w:cstheme="minorHAnsi"/>
          <w:color w:val="auto"/>
        </w:rPr>
        <w:t>. It captures the variability in energy transfer due to the probabilistic nature of particle interactions</w:t>
      </w:r>
      <w:r w:rsidR="00C369DA">
        <w:rPr>
          <w:rFonts w:asciiTheme="minorHAnsi" w:hAnsiTheme="minorHAnsi" w:cstheme="minorHAnsi"/>
          <w:color w:val="auto"/>
        </w:rPr>
        <w:t xml:space="preserve"> and it depends on the site size</w:t>
      </w:r>
      <w:r w:rsidRPr="00545A7A">
        <w:rPr>
          <w:rFonts w:asciiTheme="minorHAnsi" w:hAnsiTheme="minorHAnsi" w:cstheme="minorHAnsi"/>
          <w:color w:val="auto"/>
        </w:rPr>
        <w:t>.</w:t>
      </w:r>
    </w:p>
    <w:p w14:paraId="7F586DB5" w14:textId="010AC906"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D: Low-</w:t>
      </w:r>
      <w:r w:rsidR="00EB1D63" w:rsidRPr="00545A7A">
        <w:rPr>
          <w:rFonts w:asciiTheme="minorHAnsi" w:hAnsiTheme="minorHAnsi" w:cstheme="minorHAnsi"/>
          <w:color w:val="auto"/>
        </w:rPr>
        <w:t>energy tail from delta rays</w:t>
      </w:r>
    </w:p>
    <w:p w14:paraId="0384F4EE" w14:textId="4ADD4165" w:rsid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The rising edge at low</w:t>
      </w:r>
      <w:r w:rsidR="00EB1D63">
        <w:rPr>
          <w:rFonts w:asciiTheme="minorHAnsi" w:hAnsiTheme="minorHAnsi" w:cstheme="minorHAnsi"/>
          <w:color w:val="auto"/>
        </w:rPr>
        <w:t>est</w:t>
      </w:r>
      <w:r w:rsidRPr="00545A7A">
        <w:rPr>
          <w:rFonts w:asciiTheme="minorHAnsi" w:hAnsiTheme="minorHAnsi" w:cstheme="minorHAnsi"/>
          <w:color w:val="auto"/>
        </w:rPr>
        <w:t xml:space="preserve"> lineal energies (</w:t>
      </w:r>
      <w:r w:rsidR="00C369DA">
        <w:rPr>
          <w:rFonts w:asciiTheme="minorHAnsi" w:hAnsiTheme="minorHAnsi" w:cstheme="minorHAnsi"/>
          <w:color w:val="auto"/>
        </w:rPr>
        <w:t>interval</w:t>
      </w:r>
      <w:r w:rsidRPr="00545A7A">
        <w:rPr>
          <w:rFonts w:asciiTheme="minorHAnsi" w:hAnsiTheme="minorHAnsi" w:cstheme="minorHAnsi"/>
          <w:color w:val="auto"/>
        </w:rPr>
        <w:t xml:space="preserve"> D) is attributed to delta rays. These events are stochastic in origin </w:t>
      </w:r>
      <w:r w:rsidR="00687CF3">
        <w:rPr>
          <w:rFonts w:asciiTheme="minorHAnsi" w:hAnsiTheme="minorHAnsi" w:cstheme="minorHAnsi"/>
          <w:color w:val="auto"/>
        </w:rPr>
        <w:t>and</w:t>
      </w:r>
      <w:r w:rsidRPr="00545A7A">
        <w:rPr>
          <w:rFonts w:asciiTheme="minorHAnsi" w:hAnsiTheme="minorHAnsi" w:cstheme="minorHAnsi"/>
          <w:color w:val="auto"/>
        </w:rPr>
        <w:t xml:space="preserve"> arise from interactions occurring outside the detector.</w:t>
      </w:r>
    </w:p>
    <w:p w14:paraId="1EB4FF3E" w14:textId="75E0A877" w:rsidR="00545A7A" w:rsidRPr="00545A7A" w:rsidRDefault="00545A7A" w:rsidP="00545A7A">
      <w:pPr>
        <w:pStyle w:val="Normal1"/>
        <w:jc w:val="both"/>
        <w:rPr>
          <w:rFonts w:asciiTheme="minorHAnsi" w:hAnsiTheme="minorHAnsi" w:cstheme="minorHAnsi"/>
          <w:color w:val="auto"/>
        </w:rPr>
      </w:pPr>
      <w:r w:rsidRPr="00545A7A">
        <w:rPr>
          <w:rFonts w:asciiTheme="minorHAnsi" w:hAnsiTheme="minorHAnsi" w:cstheme="minorHAnsi"/>
          <w:color w:val="auto"/>
        </w:rPr>
        <w:t xml:space="preserve">E: Border </w:t>
      </w:r>
      <w:r w:rsidR="00EB1D63" w:rsidRPr="00545A7A">
        <w:rPr>
          <w:rFonts w:asciiTheme="minorHAnsi" w:hAnsiTheme="minorHAnsi" w:cstheme="minorHAnsi"/>
          <w:color w:val="auto"/>
        </w:rPr>
        <w:t>effects</w:t>
      </w:r>
    </w:p>
    <w:p w14:paraId="21397691" w14:textId="42789DB4" w:rsidR="00687CF3" w:rsidRPr="00687CF3" w:rsidRDefault="00545A7A" w:rsidP="00687CF3">
      <w:pPr>
        <w:pStyle w:val="Normal1"/>
        <w:jc w:val="both"/>
        <w:rPr>
          <w:rFonts w:asciiTheme="minorHAnsi" w:hAnsiTheme="minorHAnsi" w:cstheme="minorHAnsi"/>
          <w:color w:val="auto"/>
        </w:rPr>
      </w:pPr>
      <w:r w:rsidRPr="00545A7A">
        <w:rPr>
          <w:rFonts w:asciiTheme="minorHAnsi" w:hAnsiTheme="minorHAnsi" w:cstheme="minorHAnsi"/>
          <w:color w:val="auto"/>
        </w:rPr>
        <w:t>The flat region in the intermediate energy range (</w:t>
      </w:r>
      <w:r w:rsidR="00C369DA">
        <w:rPr>
          <w:rFonts w:asciiTheme="minorHAnsi" w:hAnsiTheme="minorHAnsi" w:cstheme="minorHAnsi"/>
          <w:color w:val="auto"/>
        </w:rPr>
        <w:t>interval</w:t>
      </w:r>
      <w:r w:rsidRPr="00545A7A">
        <w:rPr>
          <w:rFonts w:asciiTheme="minorHAnsi" w:hAnsiTheme="minorHAnsi" w:cstheme="minorHAnsi"/>
          <w:color w:val="auto"/>
        </w:rPr>
        <w:t xml:space="preserve"> E) results from border effects</w:t>
      </w:r>
      <w:r w:rsidR="00687CF3">
        <w:rPr>
          <w:rFonts w:asciiTheme="minorHAnsi" w:hAnsiTheme="minorHAnsi" w:cstheme="minorHAnsi"/>
          <w:color w:val="auto"/>
        </w:rPr>
        <w:t xml:space="preserve"> of the sensitive volume</w:t>
      </w:r>
      <w:r w:rsidRPr="00545A7A">
        <w:rPr>
          <w:rFonts w:asciiTheme="minorHAnsi" w:hAnsiTheme="minorHAnsi" w:cstheme="minorHAnsi"/>
          <w:color w:val="auto"/>
        </w:rPr>
        <w:t xml:space="preserve">, where primary particles only partially </w:t>
      </w:r>
      <w:r w:rsidR="00687CF3">
        <w:rPr>
          <w:rFonts w:asciiTheme="minorHAnsi" w:hAnsiTheme="minorHAnsi" w:cstheme="minorHAnsi"/>
          <w:color w:val="auto"/>
        </w:rPr>
        <w:t>interfere</w:t>
      </w:r>
      <w:r w:rsidRPr="00545A7A">
        <w:rPr>
          <w:rFonts w:asciiTheme="minorHAnsi" w:hAnsiTheme="minorHAnsi" w:cstheme="minorHAnsi"/>
          <w:color w:val="auto"/>
        </w:rPr>
        <w:t xml:space="preserve">. These distortions are </w:t>
      </w:r>
      <w:r w:rsidR="00C369DA">
        <w:rPr>
          <w:rFonts w:asciiTheme="minorHAnsi" w:hAnsiTheme="minorHAnsi" w:cstheme="minorHAnsi"/>
          <w:color w:val="auto"/>
        </w:rPr>
        <w:t>site-shape dependent</w:t>
      </w:r>
      <w:r w:rsidRPr="00545A7A">
        <w:rPr>
          <w:rFonts w:asciiTheme="minorHAnsi" w:hAnsiTheme="minorHAnsi" w:cstheme="minorHAnsi"/>
          <w:color w:val="auto"/>
        </w:rPr>
        <w:t xml:space="preserve"> in nature and, while they can be corrected through post-processing, they are not related to stochasticity.</w:t>
      </w:r>
      <w:r w:rsidR="00687CF3" w:rsidRPr="00687CF3">
        <w:rPr>
          <w:rFonts w:asciiTheme="minorHAnsi" w:hAnsiTheme="minorHAnsi" w:cstheme="minorHAnsi"/>
          <w:color w:val="auto"/>
        </w:rPr>
        <w:t xml:space="preserve"> The spectrum represented </w:t>
      </w:r>
      <w:r w:rsidR="00687CF3" w:rsidRPr="00687CF3">
        <w:rPr>
          <w:rFonts w:asciiTheme="minorHAnsi" w:hAnsiTheme="minorHAnsi" w:cstheme="minorHAnsi"/>
          <w:color w:val="auto"/>
        </w:rPr>
        <w:t xml:space="preserve">in figure </w:t>
      </w:r>
      <w:r w:rsidR="00CF1566">
        <w:rPr>
          <w:rFonts w:asciiTheme="minorHAnsi" w:hAnsiTheme="minorHAnsi" w:cstheme="minorHAnsi"/>
          <w:color w:val="auto"/>
        </w:rPr>
        <w:t>2</w:t>
      </w:r>
      <w:r w:rsidR="00687CF3" w:rsidRPr="00687CF3">
        <w:rPr>
          <w:rFonts w:asciiTheme="minorHAnsi" w:hAnsiTheme="minorHAnsi" w:cstheme="minorHAnsi"/>
          <w:color w:val="auto"/>
        </w:rPr>
        <w:t xml:space="preserve"> can be considered as the convolution of the spectrum obtained with a </w:t>
      </w:r>
      <w:r w:rsidR="00687CF3">
        <w:rPr>
          <w:rFonts w:asciiTheme="minorHAnsi" w:hAnsiTheme="minorHAnsi" w:cstheme="minorHAnsi"/>
          <w:color w:val="auto"/>
        </w:rPr>
        <w:t xml:space="preserve">border-distortion-free </w:t>
      </w:r>
      <w:r w:rsidR="00687CF3" w:rsidRPr="00687CF3">
        <w:rPr>
          <w:rFonts w:asciiTheme="minorHAnsi" w:hAnsiTheme="minorHAnsi" w:cstheme="minorHAnsi"/>
          <w:color w:val="auto"/>
        </w:rPr>
        <w:t>detector and the chord length distribution in a volume which takes into consideration the effects on the border (</w:t>
      </w:r>
      <w:r w:rsidR="00687CF3">
        <w:rPr>
          <w:rFonts w:asciiTheme="minorHAnsi" w:hAnsiTheme="minorHAnsi" w:cstheme="minorHAnsi"/>
          <w:color w:val="auto"/>
        </w:rPr>
        <w:t>this topic is discussed in details in another chapter</w:t>
      </w:r>
      <w:r w:rsidR="00687CF3" w:rsidRPr="00687CF3">
        <w:rPr>
          <w:rFonts w:asciiTheme="minorHAnsi" w:hAnsiTheme="minorHAnsi" w:cstheme="minorHAnsi"/>
          <w:color w:val="auto"/>
        </w:rPr>
        <w:t xml:space="preserve">). </w:t>
      </w:r>
      <w:r w:rsidR="00687CF3">
        <w:rPr>
          <w:rFonts w:asciiTheme="minorHAnsi" w:hAnsiTheme="minorHAnsi" w:cstheme="minorHAnsi"/>
          <w:color w:val="auto"/>
        </w:rPr>
        <w:t xml:space="preserve">Reversing the process, </w:t>
      </w:r>
      <w:r w:rsidR="00687CF3" w:rsidRPr="00687CF3">
        <w:rPr>
          <w:rFonts w:asciiTheme="minorHAnsi" w:hAnsiTheme="minorHAnsi" w:cstheme="minorHAnsi"/>
          <w:color w:val="auto"/>
        </w:rPr>
        <w:t xml:space="preserve">the spectrum </w:t>
      </w:r>
      <w:r w:rsidR="00687CF3">
        <w:rPr>
          <w:rFonts w:asciiTheme="minorHAnsi" w:hAnsiTheme="minorHAnsi" w:cstheme="minorHAnsi"/>
          <w:color w:val="auto"/>
        </w:rPr>
        <w:t xml:space="preserve">free </w:t>
      </w:r>
      <w:r w:rsidR="00687CF3" w:rsidRPr="00687CF3">
        <w:rPr>
          <w:rFonts w:asciiTheme="minorHAnsi" w:hAnsiTheme="minorHAnsi" w:cstheme="minorHAnsi"/>
          <w:color w:val="auto"/>
        </w:rPr>
        <w:t xml:space="preserve">from border distortions can be obtained by deconvolution, of the </w:t>
      </w:r>
      <w:r w:rsidR="00687CF3">
        <w:rPr>
          <w:rFonts w:asciiTheme="minorHAnsi" w:hAnsiTheme="minorHAnsi" w:cstheme="minorHAnsi"/>
          <w:color w:val="auto"/>
        </w:rPr>
        <w:t xml:space="preserve">experimental </w:t>
      </w:r>
      <w:r w:rsidR="00687CF3" w:rsidRPr="00687CF3">
        <w:rPr>
          <w:rFonts w:asciiTheme="minorHAnsi" w:hAnsiTheme="minorHAnsi" w:cstheme="minorHAnsi"/>
          <w:color w:val="auto"/>
        </w:rPr>
        <w:t xml:space="preserve">spectrum </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as the one represented in figure </w:t>
      </w:r>
      <w:r w:rsidR="00CF1566">
        <w:rPr>
          <w:rFonts w:asciiTheme="minorHAnsi" w:hAnsiTheme="minorHAnsi" w:cstheme="minorHAnsi"/>
          <w:color w:val="auto"/>
        </w:rPr>
        <w:t>2</w:t>
      </w:r>
      <w:r w:rsidR="00687CF3">
        <w:rPr>
          <w:rFonts w:asciiTheme="minorHAnsi" w:hAnsiTheme="minorHAnsi" w:cstheme="minorHAnsi"/>
          <w:color w:val="auto"/>
        </w:rPr>
        <w:t>)</w:t>
      </w:r>
      <w:r w:rsidR="00687CF3" w:rsidRPr="00687CF3">
        <w:rPr>
          <w:rFonts w:asciiTheme="minorHAnsi" w:hAnsiTheme="minorHAnsi" w:cstheme="minorHAnsi"/>
          <w:color w:val="auto"/>
        </w:rPr>
        <w:t xml:space="preserve"> and the chord length distribution </w:t>
      </w:r>
      <w:r w:rsidR="00687CF3">
        <w:rPr>
          <w:rFonts w:asciiTheme="minorHAnsi" w:hAnsiTheme="minorHAnsi" w:cstheme="minorHAnsi"/>
          <w:color w:val="auto"/>
        </w:rPr>
        <w:t xml:space="preserve">of the sensitive volume which includes </w:t>
      </w:r>
      <w:r w:rsidR="00687CF3" w:rsidRPr="00687CF3">
        <w:rPr>
          <w:rFonts w:asciiTheme="minorHAnsi" w:hAnsiTheme="minorHAnsi" w:cstheme="minorHAnsi"/>
          <w:color w:val="auto"/>
        </w:rPr>
        <w:t xml:space="preserve">border effects. </w:t>
      </w:r>
    </w:p>
    <w:p w14:paraId="60AE9027" w14:textId="39E5F27C" w:rsidR="00545A7A" w:rsidRDefault="00545A7A" w:rsidP="00545A7A">
      <w:pPr>
        <w:pStyle w:val="Normal1"/>
        <w:jc w:val="both"/>
        <w:rPr>
          <w:rFonts w:asciiTheme="minorHAnsi" w:hAnsiTheme="minorHAnsi" w:cstheme="minorHAnsi"/>
          <w:color w:val="auto"/>
        </w:rPr>
      </w:pPr>
      <w:r w:rsidRPr="003B26FA">
        <w:rPr>
          <w:rFonts w:asciiTheme="minorHAnsi" w:hAnsiTheme="minorHAnsi" w:cstheme="minorHAnsi"/>
          <w:noProof/>
          <w:color w:val="FF0000"/>
        </w:rPr>
        <w:drawing>
          <wp:inline distT="0" distB="0" distL="0" distR="0" wp14:anchorId="45945A03" wp14:editId="298AB93F">
            <wp:extent cx="2691442" cy="150065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2757" cy="1512538"/>
                    </a:xfrm>
                    <a:prstGeom prst="rect">
                      <a:avLst/>
                    </a:prstGeom>
                    <a:noFill/>
                  </pic:spPr>
                </pic:pic>
              </a:graphicData>
            </a:graphic>
          </wp:inline>
        </w:drawing>
      </w:r>
    </w:p>
    <w:p w14:paraId="46E32BA4" w14:textId="5DF92A15" w:rsidR="00545A7A" w:rsidRDefault="00545A7A"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446AEF">
        <w:rPr>
          <w:rFonts w:asciiTheme="minorHAnsi" w:hAnsiTheme="minorHAnsi" w:cstheme="minorHAnsi"/>
          <w:b/>
          <w:bCs/>
          <w:i/>
          <w:iCs/>
          <w:sz w:val="18"/>
          <w:szCs w:val="18"/>
        </w:rPr>
        <w:t>2</w:t>
      </w:r>
      <w:r w:rsidRPr="00846162">
        <w:rPr>
          <w:rFonts w:asciiTheme="minorHAnsi" w:hAnsiTheme="minorHAnsi" w:cstheme="minorHAnsi"/>
          <w:sz w:val="18"/>
          <w:szCs w:val="18"/>
        </w:rPr>
        <w:t>: Lineal-energy frequency spectrum f(y) collected with a silicon microdosimeter in a 118 MeV/u carbon-ion beam (open circles). The spectrum is normalized to a unit peak maximum. A Gaussian curve interpolates the peak region. A:</w:t>
      </w:r>
      <w:r w:rsidR="00C369DA" w:rsidRPr="00846162">
        <w:rPr>
          <w:rFonts w:asciiTheme="minorHAnsi" w:hAnsiTheme="minorHAnsi" w:cstheme="minorHAnsi"/>
          <w:sz w:val="18"/>
          <w:szCs w:val="18"/>
        </w:rPr>
        <w:t> </w:t>
      </w:r>
      <w:r w:rsidRPr="00846162">
        <w:rPr>
          <w:rFonts w:asciiTheme="minorHAnsi" w:hAnsiTheme="minorHAnsi" w:cstheme="minorHAnsi"/>
          <w:sz w:val="18"/>
          <w:szCs w:val="18"/>
        </w:rPr>
        <w:t>Unrestricted LET (blue arrow); B: Peak lineal energy; C: FWHM of the Gaussian; D: Delta-ray contributions; E: Border-effect distortions.</w:t>
      </w:r>
    </w:p>
    <w:p w14:paraId="78FF620D" w14:textId="31EA5974" w:rsidR="00545A7A" w:rsidRPr="003C0EC3" w:rsidRDefault="00293DF0" w:rsidP="00F61B1E">
      <w:pPr>
        <w:keepNext/>
        <w:keepLines/>
        <w:numPr>
          <w:ilvl w:val="0"/>
          <w:numId w:val="1"/>
        </w:numPr>
        <w:spacing w:before="40" w:after="0"/>
        <w:jc w:val="both"/>
        <w:outlineLvl w:val="1"/>
        <w:rPr>
          <w:rFonts w:cstheme="minorHAnsi"/>
          <w:b/>
          <w:bCs/>
        </w:rPr>
      </w:pPr>
      <w:r>
        <w:rPr>
          <w:rFonts w:cstheme="minorHAnsi"/>
          <w:b/>
          <w:bCs/>
        </w:rPr>
        <w:t>Clinical irradiation</w:t>
      </w:r>
      <w:r w:rsidR="006C62D1" w:rsidRPr="003C0EC3">
        <w:rPr>
          <w:rFonts w:cstheme="minorHAnsi"/>
          <w:b/>
          <w:bCs/>
        </w:rPr>
        <w:t xml:space="preserve"> </w:t>
      </w:r>
    </w:p>
    <w:p w14:paraId="2C47064C" w14:textId="34932F4D" w:rsidR="006C62D1" w:rsidRDefault="00545A7A" w:rsidP="009B01BB">
      <w:pPr>
        <w:pStyle w:val="Normal1"/>
        <w:jc w:val="both"/>
        <w:rPr>
          <w:rFonts w:asciiTheme="minorHAnsi" w:hAnsiTheme="minorHAnsi" w:cstheme="minorHAnsi"/>
          <w:color w:val="auto"/>
        </w:rPr>
      </w:pPr>
      <w:r w:rsidRPr="00545A7A">
        <w:rPr>
          <w:rFonts w:asciiTheme="minorHAnsi" w:hAnsiTheme="minorHAnsi" w:cstheme="minorHAnsi"/>
          <w:color w:val="auto"/>
        </w:rPr>
        <w:t xml:space="preserve">While monoenergetic beams offer a controlled environment for analysis, clinical ion-beam therapy involves more complex scenarios. </w:t>
      </w:r>
      <w:r w:rsidR="009676BE">
        <w:rPr>
          <w:rFonts w:asciiTheme="minorHAnsi" w:hAnsiTheme="minorHAnsi" w:cstheme="minorHAnsi"/>
          <w:color w:val="auto"/>
        </w:rPr>
        <w:t xml:space="preserve">Figure </w:t>
      </w:r>
      <w:r w:rsidR="00CF1566">
        <w:rPr>
          <w:rFonts w:asciiTheme="minorHAnsi" w:hAnsiTheme="minorHAnsi" w:cstheme="minorHAnsi"/>
          <w:color w:val="auto"/>
        </w:rPr>
        <w:t>3</w:t>
      </w:r>
      <w:r w:rsidR="009676BE">
        <w:rPr>
          <w:rFonts w:asciiTheme="minorHAnsi" w:hAnsiTheme="minorHAnsi" w:cstheme="minorHAnsi"/>
          <w:color w:val="auto"/>
        </w:rPr>
        <w:t xml:space="preserve"> refers to the irradiation of a simplified target. In </w:t>
      </w:r>
      <w:r w:rsidR="009B01BB">
        <w:rPr>
          <w:rFonts w:asciiTheme="minorHAnsi" w:hAnsiTheme="minorHAnsi" w:cstheme="minorHAnsi"/>
          <w:color w:val="auto"/>
        </w:rPr>
        <w:t>the</w:t>
      </w:r>
      <w:r w:rsidR="009676BE">
        <w:rPr>
          <w:rFonts w:asciiTheme="minorHAnsi" w:hAnsiTheme="minorHAnsi" w:cstheme="minorHAnsi"/>
          <w:color w:val="auto"/>
        </w:rPr>
        <w:t xml:space="preserve"> voxel</w:t>
      </w:r>
      <w:r w:rsidR="009B01BB">
        <w:rPr>
          <w:rFonts w:asciiTheme="minorHAnsi" w:hAnsiTheme="minorHAnsi" w:cstheme="minorHAnsi"/>
          <w:color w:val="auto"/>
        </w:rPr>
        <w:t>s</w:t>
      </w:r>
      <w:r w:rsidR="009676BE">
        <w:rPr>
          <w:rFonts w:asciiTheme="minorHAnsi" w:hAnsiTheme="minorHAnsi" w:cstheme="minorHAnsi"/>
          <w:color w:val="auto"/>
        </w:rPr>
        <w:t xml:space="preserve"> of the target the radiation is </w:t>
      </w:r>
      <w:r w:rsidR="009B01BB">
        <w:rPr>
          <w:rFonts w:asciiTheme="minorHAnsi" w:hAnsiTheme="minorHAnsi" w:cstheme="minorHAnsi"/>
          <w:color w:val="auto"/>
        </w:rPr>
        <w:t xml:space="preserve">given by the </w:t>
      </w:r>
      <w:r w:rsidR="009676BE">
        <w:rPr>
          <w:rFonts w:asciiTheme="minorHAnsi" w:hAnsiTheme="minorHAnsi" w:cstheme="minorHAnsi"/>
          <w:color w:val="auto"/>
        </w:rPr>
        <w:t xml:space="preserve">combination of </w:t>
      </w:r>
      <w:r w:rsidR="009B01BB">
        <w:rPr>
          <w:rFonts w:asciiTheme="minorHAnsi" w:hAnsiTheme="minorHAnsi" w:cstheme="minorHAnsi"/>
          <w:color w:val="auto"/>
        </w:rPr>
        <w:t>particles stopping in that voxel plus</w:t>
      </w:r>
      <w:r w:rsidR="00877E9A">
        <w:rPr>
          <w:rFonts w:asciiTheme="minorHAnsi" w:hAnsiTheme="minorHAnsi" w:cstheme="minorHAnsi"/>
          <w:color w:val="auto"/>
        </w:rPr>
        <w:t xml:space="preserve"> crossing</w:t>
      </w:r>
      <w:r w:rsidR="009B01BB">
        <w:rPr>
          <w:rFonts w:asciiTheme="minorHAnsi" w:hAnsiTheme="minorHAnsi" w:cstheme="minorHAnsi"/>
          <w:color w:val="auto"/>
        </w:rPr>
        <w:t xml:space="preserve"> particles stopping in deeper voxels. Since also the transversal distribution of intensity is not uniform at the same depth, the characteristic of the radiation varies from voxels to voxel. </w:t>
      </w:r>
    </w:p>
    <w:p w14:paraId="6900B092" w14:textId="374168B3" w:rsidR="00877E9A" w:rsidRDefault="00877E9A" w:rsidP="009B01BB">
      <w:pPr>
        <w:pStyle w:val="Normal1"/>
        <w:jc w:val="both"/>
        <w:rPr>
          <w:rFonts w:asciiTheme="minorHAnsi" w:hAnsiTheme="minorHAnsi" w:cstheme="minorHAnsi"/>
          <w:color w:val="auto"/>
        </w:rPr>
      </w:pPr>
      <w:r>
        <w:rPr>
          <w:rFonts w:asciiTheme="minorHAnsi" w:hAnsiTheme="minorHAnsi" w:cstheme="minorHAnsi"/>
          <w:color w:val="auto"/>
        </w:rPr>
        <w:t>Figure 4 refers to a voxel chosen from plan described in figure 3, at 10 millimeters from the distal depth and at the center of the transversal area. The intensities of the different beams impinging in the voxel are represented as function of the electronic stopping power values.</w:t>
      </w:r>
      <w:r>
        <w:rPr>
          <w:rFonts w:asciiTheme="minorHAnsi" w:hAnsiTheme="minorHAnsi" w:cstheme="minorHAnsi"/>
          <w:color w:val="auto"/>
        </w:rPr>
        <w:t xml:space="preserve"> </w:t>
      </w:r>
      <w:r>
        <w:rPr>
          <w:rFonts w:asciiTheme="minorHAnsi" w:hAnsiTheme="minorHAnsi" w:cstheme="minorHAnsi"/>
          <w:color w:val="auto"/>
        </w:rPr>
        <w:t xml:space="preserve">The representation is based on the ideal condition of absence of energy straggling so that, the beam remains monoenergetic also after penetrating the target. Under that condition, the LET distribution is represented by the simply as the series of </w:t>
      </w:r>
      <w:r>
        <w:rPr>
          <w:rFonts w:asciiTheme="minorHAnsi" w:hAnsiTheme="minorHAnsi" w:cstheme="minorHAnsi"/>
          <w:color w:val="auto"/>
        </w:rPr>
        <w:t>discrete</w:t>
      </w:r>
      <w:r>
        <w:rPr>
          <w:rFonts w:asciiTheme="minorHAnsi" w:hAnsiTheme="minorHAnsi" w:cstheme="minorHAnsi"/>
          <w:color w:val="auto"/>
        </w:rPr>
        <w:t xml:space="preserve"> LET values (red lines in the figure 3) each corresponding to the monoenergetic beams.</w:t>
      </w:r>
    </w:p>
    <w:p w14:paraId="76F1880B" w14:textId="06DF7DD6" w:rsidR="006C62D1" w:rsidRDefault="00A1587E" w:rsidP="00545A7A">
      <w:pPr>
        <w:pStyle w:val="Normal1"/>
        <w:jc w:val="both"/>
        <w:rPr>
          <w:rFonts w:asciiTheme="minorHAnsi" w:hAnsiTheme="minorHAnsi" w:cstheme="minorHAnsi"/>
          <w:color w:val="auto"/>
        </w:rPr>
      </w:pPr>
      <w:r>
        <w:rPr>
          <w:noProof/>
        </w:rPr>
        <w:lastRenderedPageBreak/>
        <w:drawing>
          <wp:inline distT="0" distB="0" distL="0" distR="0" wp14:anchorId="46EB321D" wp14:editId="7A956F97">
            <wp:extent cx="2855343" cy="1691342"/>
            <wp:effectExtent l="0" t="0" r="2540" b="4445"/>
            <wp:docPr id="32" name="Picture 6">
              <a:extLst xmlns:a="http://schemas.openxmlformats.org/drawingml/2006/main">
                <a:ext uri="{FF2B5EF4-FFF2-40B4-BE49-F238E27FC236}">
                  <a16:creationId xmlns:a16="http://schemas.microsoft.com/office/drawing/2014/main" id="{723199C7-E352-4CC7-B696-7E073DEC77E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2" name="Picture 6">
                      <a:extLst>
                        <a:ext uri="{FF2B5EF4-FFF2-40B4-BE49-F238E27FC236}">
                          <a16:creationId xmlns:a16="http://schemas.microsoft.com/office/drawing/2014/main" id="{723199C7-E352-4CC7-B696-7E073DEC77EF}"/>
                        </a:ext>
                      </a:extLst>
                    </pic:cNvPr>
                    <pic:cNvPicPr>
                      <a:picLocks noGrp="1" noChangeAspect="1" noChangeArrowheads="1"/>
                    </pic:cNvPicPr>
                  </pic:nvPicPr>
                  <pic:blipFill rotWithShape="1">
                    <a:blip r:embed="rId10" cstate="print">
                      <a:extLst>
                        <a:ext uri="{28A0092B-C50C-407E-A947-70E740481C1C}">
                          <a14:useLocalDpi xmlns:a14="http://schemas.microsoft.com/office/drawing/2010/main" val="0"/>
                        </a:ext>
                      </a:extLst>
                    </a:blip>
                    <a:srcRect l="7517" t="12057" r="25777" b="8709"/>
                    <a:stretch/>
                  </pic:blipFill>
                  <pic:spPr bwMode="auto">
                    <a:xfrm>
                      <a:off x="0" y="0"/>
                      <a:ext cx="2891476" cy="1712745"/>
                    </a:xfrm>
                    <a:prstGeom prst="rect">
                      <a:avLst/>
                    </a:prstGeom>
                    <a:noFill/>
                  </pic:spPr>
                </pic:pic>
              </a:graphicData>
            </a:graphic>
          </wp:inline>
        </w:drawing>
      </w:r>
    </w:p>
    <w:p w14:paraId="5277CE21" w14:textId="3B418ED2" w:rsidR="00363AAA" w:rsidRPr="00846162" w:rsidRDefault="009676BE" w:rsidP="00545A7A">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3</w:t>
      </w:r>
      <w:r w:rsidRPr="00846162">
        <w:rPr>
          <w:rFonts w:asciiTheme="minorHAnsi" w:hAnsiTheme="minorHAnsi" w:cstheme="minorHAnsi"/>
          <w:sz w:val="18"/>
          <w:szCs w:val="18"/>
        </w:rPr>
        <w:t xml:space="preserve">. Representation of a simple plan in water for the irradiation of voxels in a parallelepiped target. The beams enter horizontally from left to right. The </w:t>
      </w:r>
      <w:r w:rsidR="0016507F">
        <w:rPr>
          <w:rFonts w:asciiTheme="minorHAnsi" w:hAnsiTheme="minorHAnsi" w:cstheme="minorHAnsi"/>
          <w:sz w:val="18"/>
          <w:szCs w:val="18"/>
        </w:rPr>
        <w:t xml:space="preserve">color transparency decreases with the increase of </w:t>
      </w:r>
      <w:r w:rsidRPr="00846162">
        <w:rPr>
          <w:rFonts w:asciiTheme="minorHAnsi" w:hAnsiTheme="minorHAnsi" w:cstheme="minorHAnsi"/>
          <w:sz w:val="18"/>
          <w:szCs w:val="18"/>
        </w:rPr>
        <w:t xml:space="preserve">the number of </w:t>
      </w:r>
      <w:r w:rsidR="0016507F">
        <w:rPr>
          <w:rFonts w:asciiTheme="minorHAnsi" w:hAnsiTheme="minorHAnsi" w:cstheme="minorHAnsi"/>
          <w:sz w:val="18"/>
          <w:szCs w:val="18"/>
        </w:rPr>
        <w:t xml:space="preserve">primary </w:t>
      </w:r>
      <w:r w:rsidRPr="00846162">
        <w:rPr>
          <w:rFonts w:asciiTheme="minorHAnsi" w:hAnsiTheme="minorHAnsi" w:cstheme="minorHAnsi"/>
          <w:sz w:val="18"/>
          <w:szCs w:val="18"/>
        </w:rPr>
        <w:t xml:space="preserve">particles stopping in that voxel. </w:t>
      </w:r>
    </w:p>
    <w:p w14:paraId="0A4D3090" w14:textId="22910812" w:rsidR="006B1DE8" w:rsidRDefault="00E021C3" w:rsidP="00545A7A">
      <w:pPr>
        <w:pStyle w:val="Normal1"/>
        <w:jc w:val="both"/>
        <w:rPr>
          <w:rFonts w:asciiTheme="minorHAnsi" w:hAnsiTheme="minorHAnsi" w:cstheme="minorHAnsi"/>
          <w:color w:val="auto"/>
        </w:rPr>
      </w:pPr>
      <w:r>
        <w:rPr>
          <w:rFonts w:asciiTheme="minorHAnsi" w:hAnsiTheme="minorHAnsi" w:cstheme="minorHAnsi"/>
          <w:color w:val="auto"/>
        </w:rPr>
        <w:t xml:space="preserve">In </w:t>
      </w:r>
      <w:r w:rsidR="00B73AAB" w:rsidRPr="00B73AAB">
        <w:rPr>
          <w:rFonts w:asciiTheme="minorHAnsi" w:hAnsiTheme="minorHAnsi" w:cstheme="minorHAnsi"/>
          <w:color w:val="auto"/>
        </w:rPr>
        <w:t xml:space="preserve">a realistic scenario, the energy straggling </w:t>
      </w:r>
      <w:r w:rsidR="0016507F">
        <w:rPr>
          <w:rFonts w:asciiTheme="minorHAnsi" w:hAnsiTheme="minorHAnsi" w:cstheme="minorHAnsi"/>
          <w:color w:val="auto"/>
        </w:rPr>
        <w:t xml:space="preserve">and the presence of ripple filters in the beamline </w:t>
      </w:r>
      <w:r w:rsidR="00B73AAB" w:rsidRPr="00B73AAB">
        <w:rPr>
          <w:rFonts w:asciiTheme="minorHAnsi" w:hAnsiTheme="minorHAnsi" w:cstheme="minorHAnsi"/>
          <w:color w:val="auto"/>
        </w:rPr>
        <w:t xml:space="preserve">would </w:t>
      </w:r>
      <w:r w:rsidR="00A82EFD">
        <w:rPr>
          <w:rFonts w:asciiTheme="minorHAnsi" w:hAnsiTheme="minorHAnsi" w:cstheme="minorHAnsi"/>
          <w:color w:val="auto"/>
        </w:rPr>
        <w:t xml:space="preserve">spread the energy so that, </w:t>
      </w:r>
      <w:r w:rsidR="005A441D">
        <w:rPr>
          <w:rFonts w:asciiTheme="minorHAnsi" w:hAnsiTheme="minorHAnsi" w:cstheme="minorHAnsi"/>
          <w:color w:val="auto"/>
        </w:rPr>
        <w:t xml:space="preserve">instead of </w:t>
      </w:r>
      <w:r w:rsidR="00B73AAB" w:rsidRPr="00B73AAB">
        <w:rPr>
          <w:rFonts w:asciiTheme="minorHAnsi" w:hAnsiTheme="minorHAnsi" w:cstheme="minorHAnsi"/>
          <w:color w:val="auto"/>
        </w:rPr>
        <w:t>discrete LET</w:t>
      </w:r>
      <w:r w:rsidR="004D3887">
        <w:rPr>
          <w:rFonts w:asciiTheme="minorHAnsi" w:hAnsiTheme="minorHAnsi" w:cstheme="minorHAnsi"/>
          <w:color w:val="auto"/>
        </w:rPr>
        <w:t xml:space="preserve"> values,</w:t>
      </w:r>
      <w:r w:rsidR="00B73AAB" w:rsidRPr="00B73AAB">
        <w:rPr>
          <w:rFonts w:asciiTheme="minorHAnsi" w:hAnsiTheme="minorHAnsi" w:cstheme="minorHAnsi"/>
          <w:color w:val="auto"/>
        </w:rPr>
        <w:t xml:space="preserve"> </w:t>
      </w:r>
      <w:r w:rsidR="005A441D">
        <w:rPr>
          <w:rFonts w:asciiTheme="minorHAnsi" w:hAnsiTheme="minorHAnsi" w:cstheme="minorHAnsi"/>
          <w:color w:val="auto"/>
        </w:rPr>
        <w:t xml:space="preserve">a more uniform distribution </w:t>
      </w:r>
      <w:r w:rsidR="004D3887">
        <w:rPr>
          <w:rFonts w:asciiTheme="minorHAnsi" w:hAnsiTheme="minorHAnsi" w:cstheme="minorHAnsi"/>
          <w:color w:val="auto"/>
        </w:rPr>
        <w:t>would appear</w:t>
      </w:r>
      <w:r w:rsidR="00A82EFD">
        <w:rPr>
          <w:rFonts w:asciiTheme="minorHAnsi" w:hAnsiTheme="minorHAnsi" w:cstheme="minorHAnsi"/>
          <w:color w:val="auto"/>
        </w:rPr>
        <w:t>.</w:t>
      </w:r>
    </w:p>
    <w:p w14:paraId="1C662627" w14:textId="14541785" w:rsidR="00363AAA" w:rsidRDefault="00915606" w:rsidP="00545A7A">
      <w:pPr>
        <w:pStyle w:val="Normal1"/>
        <w:jc w:val="both"/>
        <w:rPr>
          <w:rFonts w:cstheme="minorHAnsi"/>
          <w:noProof/>
        </w:rPr>
      </w:pPr>
      <w:r>
        <w:rPr>
          <w:rFonts w:cstheme="minorHAnsi"/>
          <w:noProof/>
        </w:rPr>
        <w:drawing>
          <wp:inline distT="0" distB="0" distL="0" distR="0" wp14:anchorId="7916F49F" wp14:editId="17F77093">
            <wp:extent cx="2637155" cy="132428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7155" cy="1324287"/>
                    </a:xfrm>
                    <a:prstGeom prst="rect">
                      <a:avLst/>
                    </a:prstGeom>
                    <a:noFill/>
                    <a:ln>
                      <a:noFill/>
                    </a:ln>
                  </pic:spPr>
                </pic:pic>
              </a:graphicData>
            </a:graphic>
          </wp:inline>
        </w:drawing>
      </w:r>
    </w:p>
    <w:p w14:paraId="2469DDDD" w14:textId="0942657C" w:rsidR="00E021C3" w:rsidRDefault="00E021C3" w:rsidP="00E021C3">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4</w:t>
      </w:r>
      <w:r w:rsidRPr="00846162">
        <w:rPr>
          <w:rFonts w:asciiTheme="minorHAnsi" w:hAnsiTheme="minorHAnsi" w:cstheme="minorHAnsi"/>
          <w:sz w:val="18"/>
          <w:szCs w:val="18"/>
        </w:rPr>
        <w:t xml:space="preserve">. Representation </w:t>
      </w:r>
      <w:r>
        <w:rPr>
          <w:rFonts w:asciiTheme="minorHAnsi" w:hAnsiTheme="minorHAnsi" w:cstheme="minorHAnsi"/>
          <w:sz w:val="18"/>
          <w:szCs w:val="18"/>
        </w:rPr>
        <w:t xml:space="preserve">of the beam intensities </w:t>
      </w:r>
      <w:r w:rsidR="009731CC">
        <w:rPr>
          <w:rFonts w:asciiTheme="minorHAnsi" w:hAnsiTheme="minorHAnsi" w:cstheme="minorHAnsi"/>
          <w:sz w:val="18"/>
          <w:szCs w:val="18"/>
        </w:rPr>
        <w:t xml:space="preserve">as function of the ideal discrete unrestricted LET values in a voxel </w:t>
      </w:r>
      <w:r w:rsidR="006B1DE8">
        <w:rPr>
          <w:rFonts w:asciiTheme="minorHAnsi" w:hAnsiTheme="minorHAnsi" w:cstheme="minorHAnsi"/>
          <w:sz w:val="18"/>
          <w:szCs w:val="18"/>
        </w:rPr>
        <w:t xml:space="preserve">at the center of the cross-sectional area </w:t>
      </w:r>
      <w:r w:rsidR="009731CC">
        <w:rPr>
          <w:rFonts w:asciiTheme="minorHAnsi" w:hAnsiTheme="minorHAnsi" w:cstheme="minorHAnsi"/>
          <w:sz w:val="18"/>
          <w:szCs w:val="18"/>
        </w:rPr>
        <w:t>at depth in water of 12</w:t>
      </w:r>
      <w:r w:rsidR="006B1DE8">
        <w:rPr>
          <w:rFonts w:asciiTheme="minorHAnsi" w:hAnsiTheme="minorHAnsi" w:cstheme="minorHAnsi"/>
          <w:sz w:val="18"/>
          <w:szCs w:val="18"/>
        </w:rPr>
        <w:t>0</w:t>
      </w:r>
      <w:r w:rsidR="009731CC">
        <w:rPr>
          <w:rFonts w:asciiTheme="minorHAnsi" w:hAnsiTheme="minorHAnsi" w:cstheme="minorHAnsi"/>
          <w:sz w:val="18"/>
          <w:szCs w:val="18"/>
        </w:rPr>
        <w:t> mm</w:t>
      </w:r>
      <w:r w:rsidR="006B1DE8">
        <w:rPr>
          <w:rFonts w:asciiTheme="minorHAnsi" w:hAnsiTheme="minorHAnsi" w:cstheme="minorHAnsi"/>
          <w:sz w:val="18"/>
          <w:szCs w:val="18"/>
        </w:rPr>
        <w:t xml:space="preserve">, </w:t>
      </w:r>
      <w:r w:rsidR="00915606">
        <w:rPr>
          <w:rFonts w:asciiTheme="minorHAnsi" w:hAnsiTheme="minorHAnsi" w:cstheme="minorHAnsi"/>
          <w:sz w:val="18"/>
          <w:szCs w:val="18"/>
        </w:rPr>
        <w:t>10</w:t>
      </w:r>
      <w:r w:rsidR="006B1DE8">
        <w:rPr>
          <w:rFonts w:asciiTheme="minorHAnsi" w:hAnsiTheme="minorHAnsi" w:cstheme="minorHAnsi"/>
          <w:sz w:val="18"/>
          <w:szCs w:val="18"/>
        </w:rPr>
        <w:t xml:space="preserve"> mm </w:t>
      </w:r>
      <w:r w:rsidR="005F740F">
        <w:rPr>
          <w:rFonts w:asciiTheme="minorHAnsi" w:hAnsiTheme="minorHAnsi" w:cstheme="minorHAnsi"/>
          <w:sz w:val="18"/>
          <w:szCs w:val="18"/>
        </w:rPr>
        <w:t>before the distal edge of the irradiated volume</w:t>
      </w:r>
      <w:r w:rsidR="009731CC">
        <w:rPr>
          <w:rFonts w:asciiTheme="minorHAnsi" w:hAnsiTheme="minorHAnsi" w:cstheme="minorHAnsi"/>
          <w:sz w:val="18"/>
          <w:szCs w:val="18"/>
        </w:rPr>
        <w:t xml:space="preserve">. </w:t>
      </w:r>
      <w:r w:rsidR="00F61B1E">
        <w:rPr>
          <w:rFonts w:asciiTheme="minorHAnsi" w:hAnsiTheme="minorHAnsi" w:cstheme="minorHAnsi"/>
          <w:sz w:val="18"/>
          <w:szCs w:val="18"/>
        </w:rPr>
        <w:t xml:space="preserve">The dashes black line is used as a guide for the eye between values. </w:t>
      </w:r>
      <w:r w:rsidR="009731CC">
        <w:rPr>
          <w:rFonts w:asciiTheme="minorHAnsi" w:hAnsiTheme="minorHAnsi" w:cstheme="minorHAnsi"/>
          <w:sz w:val="18"/>
          <w:szCs w:val="18"/>
        </w:rPr>
        <w:t xml:space="preserve">The irradiation plan </w:t>
      </w:r>
      <w:r w:rsidR="00F61B1E">
        <w:rPr>
          <w:rFonts w:asciiTheme="minorHAnsi" w:hAnsiTheme="minorHAnsi" w:cstheme="minorHAnsi"/>
          <w:sz w:val="18"/>
          <w:szCs w:val="18"/>
        </w:rPr>
        <w:t xml:space="preserve">from which the data are extracted is represented in </w:t>
      </w:r>
      <w:r w:rsidR="009731CC">
        <w:rPr>
          <w:rFonts w:asciiTheme="minorHAnsi" w:hAnsiTheme="minorHAnsi" w:cstheme="minorHAnsi"/>
          <w:sz w:val="18"/>
          <w:szCs w:val="18"/>
        </w:rPr>
        <w:t xml:space="preserve">figure </w:t>
      </w:r>
      <w:r w:rsidR="00CF1566">
        <w:rPr>
          <w:rFonts w:asciiTheme="minorHAnsi" w:hAnsiTheme="minorHAnsi" w:cstheme="minorHAnsi"/>
          <w:sz w:val="18"/>
          <w:szCs w:val="18"/>
        </w:rPr>
        <w:t>3</w:t>
      </w:r>
      <w:r w:rsidR="009731CC">
        <w:rPr>
          <w:rFonts w:asciiTheme="minorHAnsi" w:hAnsiTheme="minorHAnsi" w:cstheme="minorHAnsi"/>
          <w:sz w:val="18"/>
          <w:szCs w:val="18"/>
        </w:rPr>
        <w:t xml:space="preserve">. </w:t>
      </w:r>
    </w:p>
    <w:p w14:paraId="55934557" w14:textId="7964E6B1" w:rsidR="001736DD" w:rsidRDefault="00CE077C" w:rsidP="0038064E">
      <w:pPr>
        <w:pStyle w:val="Normal1"/>
        <w:jc w:val="both"/>
        <w:rPr>
          <w:rFonts w:asciiTheme="minorHAnsi" w:hAnsiTheme="minorHAnsi" w:cstheme="minorHAnsi"/>
          <w:color w:val="auto"/>
        </w:rPr>
      </w:pPr>
      <w:r>
        <w:rPr>
          <w:rFonts w:asciiTheme="minorHAnsi" w:hAnsiTheme="minorHAnsi" w:cstheme="minorHAnsi"/>
          <w:color w:val="auto"/>
        </w:rPr>
        <w:t xml:space="preserve">Figure </w:t>
      </w:r>
      <w:r w:rsidR="00CF1566">
        <w:rPr>
          <w:rFonts w:asciiTheme="minorHAnsi" w:hAnsiTheme="minorHAnsi" w:cstheme="minorHAnsi"/>
          <w:color w:val="auto"/>
        </w:rPr>
        <w:t>5</w:t>
      </w:r>
      <w:r>
        <w:rPr>
          <w:rFonts w:asciiTheme="minorHAnsi" w:hAnsiTheme="minorHAnsi" w:cstheme="minorHAnsi"/>
          <w:color w:val="auto"/>
        </w:rPr>
        <w:t xml:space="preserve"> shows the comparison of the experimental spectrum </w:t>
      </w:r>
      <w:r w:rsidR="0086592C">
        <w:rPr>
          <w:rFonts w:asciiTheme="minorHAnsi" w:hAnsiTheme="minorHAnsi" w:cstheme="minorHAnsi"/>
          <w:color w:val="auto"/>
        </w:rPr>
        <w:t xml:space="preserve">(black line) </w:t>
      </w:r>
      <w:r>
        <w:rPr>
          <w:rFonts w:asciiTheme="minorHAnsi" w:hAnsiTheme="minorHAnsi" w:cstheme="minorHAnsi"/>
          <w:color w:val="auto"/>
        </w:rPr>
        <w:t xml:space="preserve">collected in the position corresponding to the selected voxel of the plan represented in figure </w:t>
      </w:r>
      <w:r w:rsidR="00CF1566">
        <w:rPr>
          <w:rFonts w:asciiTheme="minorHAnsi" w:hAnsiTheme="minorHAnsi" w:cstheme="minorHAnsi"/>
          <w:color w:val="auto"/>
        </w:rPr>
        <w:t>3</w:t>
      </w:r>
      <w:r>
        <w:rPr>
          <w:rFonts w:asciiTheme="minorHAnsi" w:hAnsiTheme="minorHAnsi" w:cstheme="minorHAnsi"/>
          <w:color w:val="auto"/>
        </w:rPr>
        <w:t xml:space="preserve"> </w:t>
      </w:r>
      <w:r w:rsidR="00647FDA">
        <w:rPr>
          <w:rFonts w:asciiTheme="minorHAnsi" w:hAnsiTheme="minorHAnsi" w:cstheme="minorHAnsi"/>
          <w:color w:val="auto"/>
        </w:rPr>
        <w:t>with</w:t>
      </w:r>
      <w:r>
        <w:rPr>
          <w:rFonts w:asciiTheme="minorHAnsi" w:hAnsiTheme="minorHAnsi" w:cstheme="minorHAnsi"/>
          <w:color w:val="auto"/>
        </w:rPr>
        <w:t xml:space="preserve"> the computed </w:t>
      </w:r>
      <w:r w:rsidR="00647FDA">
        <w:rPr>
          <w:rFonts w:asciiTheme="minorHAnsi" w:hAnsiTheme="minorHAnsi" w:cstheme="minorHAnsi"/>
          <w:color w:val="auto"/>
        </w:rPr>
        <w:t xml:space="preserve">probability-density </w:t>
      </w:r>
      <w:r w:rsidR="0086592C">
        <w:rPr>
          <w:rFonts w:asciiTheme="minorHAnsi" w:hAnsiTheme="minorHAnsi" w:cstheme="minorHAnsi"/>
          <w:color w:val="auto"/>
        </w:rPr>
        <w:t xml:space="preserve">frequency distribution in lineal energy (continuous red line). The latter is the envelop of the quasi-Gaussian curves </w:t>
      </w:r>
      <w:r w:rsidR="0086592C" w:rsidRPr="0086592C">
        <w:rPr>
          <w:rFonts w:asciiTheme="minorHAnsi" w:hAnsiTheme="minorHAnsi" w:cstheme="minorHAnsi"/>
          <w:color w:val="auto"/>
        </w:rPr>
        <w:t xml:space="preserve">(dashed lines in multiple colors) </w:t>
      </w:r>
      <w:r w:rsidR="0086592C">
        <w:rPr>
          <w:rFonts w:asciiTheme="minorHAnsi" w:hAnsiTheme="minorHAnsi" w:cstheme="minorHAnsi"/>
          <w:color w:val="auto"/>
        </w:rPr>
        <w:t xml:space="preserve">which are calculated </w:t>
      </w:r>
      <w:r w:rsidR="00647FDA">
        <w:rPr>
          <w:rFonts w:asciiTheme="minorHAnsi" w:hAnsiTheme="minorHAnsi" w:cstheme="minorHAnsi"/>
          <w:color w:val="auto"/>
        </w:rPr>
        <w:t xml:space="preserve">using the method of multiple convolution [Kellerer 1968, Magrin 2022] </w:t>
      </w:r>
      <w:r w:rsidR="0086592C">
        <w:rPr>
          <w:rFonts w:asciiTheme="minorHAnsi" w:hAnsiTheme="minorHAnsi" w:cstheme="minorHAnsi"/>
          <w:color w:val="auto"/>
        </w:rPr>
        <w:t xml:space="preserve">for each beam </w:t>
      </w:r>
      <w:r w:rsidR="004D3887">
        <w:rPr>
          <w:rFonts w:asciiTheme="minorHAnsi" w:hAnsiTheme="minorHAnsi" w:cstheme="minorHAnsi"/>
          <w:color w:val="auto"/>
        </w:rPr>
        <w:t xml:space="preserve">entering the </w:t>
      </w:r>
      <w:r w:rsidR="0086592C">
        <w:rPr>
          <w:rFonts w:asciiTheme="minorHAnsi" w:hAnsiTheme="minorHAnsi" w:cstheme="minorHAnsi"/>
          <w:color w:val="auto"/>
        </w:rPr>
        <w:t>specific voxel</w:t>
      </w:r>
      <w:r w:rsidR="00E530DB">
        <w:rPr>
          <w:rFonts w:asciiTheme="minorHAnsi" w:hAnsiTheme="minorHAnsi" w:cstheme="minorHAnsi"/>
          <w:color w:val="auto"/>
        </w:rPr>
        <w:t>, considered as monoenergetic</w:t>
      </w:r>
      <w:r w:rsidR="00647FDA">
        <w:rPr>
          <w:rFonts w:asciiTheme="minorHAnsi" w:hAnsiTheme="minorHAnsi" w:cstheme="minorHAnsi"/>
          <w:color w:val="auto"/>
        </w:rPr>
        <w:t>.</w:t>
      </w:r>
    </w:p>
    <w:p w14:paraId="06EE8AED" w14:textId="3FC7EC6B" w:rsidR="00E8794A" w:rsidRDefault="001736DD" w:rsidP="00E8794A">
      <w:pPr>
        <w:pStyle w:val="Normal1"/>
        <w:jc w:val="both"/>
        <w:rPr>
          <w:rFonts w:asciiTheme="minorHAnsi" w:hAnsiTheme="minorHAnsi" w:cstheme="minorHAnsi"/>
          <w:color w:val="auto"/>
        </w:rPr>
      </w:pPr>
      <w:r>
        <w:rPr>
          <w:rFonts w:asciiTheme="minorHAnsi" w:hAnsiTheme="minorHAnsi" w:cstheme="minorHAnsi"/>
          <w:color w:val="auto"/>
        </w:rPr>
        <w:t>The</w:t>
      </w:r>
      <w:r w:rsidR="00276811">
        <w:rPr>
          <w:rFonts w:asciiTheme="minorHAnsi" w:hAnsiTheme="minorHAnsi" w:cstheme="minorHAnsi"/>
          <w:color w:val="auto"/>
        </w:rPr>
        <w:t xml:space="preserve"> fact that the </w:t>
      </w:r>
      <w:r>
        <w:rPr>
          <w:rFonts w:asciiTheme="minorHAnsi" w:hAnsiTheme="minorHAnsi" w:cstheme="minorHAnsi"/>
          <w:color w:val="auto"/>
        </w:rPr>
        <w:t xml:space="preserve">quasi-Gaussian curves </w:t>
      </w:r>
      <w:r w:rsidR="00276811">
        <w:rPr>
          <w:rFonts w:asciiTheme="minorHAnsi" w:hAnsiTheme="minorHAnsi" w:cstheme="minorHAnsi"/>
          <w:color w:val="auto"/>
        </w:rPr>
        <w:t xml:space="preserve">in figure </w:t>
      </w:r>
      <w:r w:rsidR="00CF1566">
        <w:rPr>
          <w:rFonts w:asciiTheme="minorHAnsi" w:hAnsiTheme="minorHAnsi" w:cstheme="minorHAnsi"/>
          <w:color w:val="auto"/>
        </w:rPr>
        <w:t>5</w:t>
      </w:r>
      <w:r w:rsidR="00276811">
        <w:rPr>
          <w:rFonts w:asciiTheme="minorHAnsi" w:hAnsiTheme="minorHAnsi" w:cstheme="minorHAnsi"/>
          <w:color w:val="auto"/>
        </w:rPr>
        <w:t xml:space="preserve"> substitute the single values represented in figure </w:t>
      </w:r>
      <w:r w:rsidR="00CF1566">
        <w:rPr>
          <w:rFonts w:asciiTheme="minorHAnsi" w:hAnsiTheme="minorHAnsi" w:cstheme="minorHAnsi"/>
          <w:color w:val="auto"/>
        </w:rPr>
        <w:t>4</w:t>
      </w:r>
      <w:r w:rsidR="00276811">
        <w:rPr>
          <w:rFonts w:asciiTheme="minorHAnsi" w:hAnsiTheme="minorHAnsi" w:cstheme="minorHAnsi"/>
          <w:color w:val="auto"/>
        </w:rPr>
        <w:t xml:space="preserve"> is </w:t>
      </w:r>
      <w:r>
        <w:rPr>
          <w:rFonts w:asciiTheme="minorHAnsi" w:hAnsiTheme="minorHAnsi" w:cstheme="minorHAnsi"/>
          <w:color w:val="auto"/>
        </w:rPr>
        <w:t xml:space="preserve">the direct representation of the </w:t>
      </w:r>
      <w:r w:rsidR="00276811">
        <w:rPr>
          <w:rFonts w:asciiTheme="minorHAnsi" w:hAnsiTheme="minorHAnsi" w:cstheme="minorHAnsi"/>
          <w:color w:val="auto"/>
        </w:rPr>
        <w:t xml:space="preserve">co-existence of </w:t>
      </w:r>
      <w:r>
        <w:rPr>
          <w:rFonts w:asciiTheme="minorHAnsi" w:hAnsiTheme="minorHAnsi" w:cstheme="minorHAnsi"/>
          <w:color w:val="auto"/>
        </w:rPr>
        <w:t xml:space="preserve">stochastic </w:t>
      </w:r>
      <w:r w:rsidR="00276811">
        <w:rPr>
          <w:rFonts w:asciiTheme="minorHAnsi" w:hAnsiTheme="minorHAnsi" w:cstheme="minorHAnsi"/>
          <w:color w:val="auto"/>
        </w:rPr>
        <w:t xml:space="preserve">and non-stochastic </w:t>
      </w:r>
      <w:r>
        <w:rPr>
          <w:rFonts w:asciiTheme="minorHAnsi" w:hAnsiTheme="minorHAnsi" w:cstheme="minorHAnsi"/>
          <w:color w:val="auto"/>
        </w:rPr>
        <w:t>nature of the radiation interaction</w:t>
      </w:r>
      <w:r w:rsidR="00E530DB">
        <w:rPr>
          <w:rFonts w:asciiTheme="minorHAnsi" w:hAnsiTheme="minorHAnsi" w:cstheme="minorHAnsi"/>
          <w:color w:val="auto"/>
        </w:rPr>
        <w:t xml:space="preserve"> </w:t>
      </w:r>
      <w:r w:rsidR="00D846A0">
        <w:rPr>
          <w:rFonts w:asciiTheme="minorHAnsi" w:hAnsiTheme="minorHAnsi" w:cstheme="minorHAnsi"/>
          <w:color w:val="auto"/>
        </w:rPr>
        <w:t>as</w:t>
      </w:r>
      <w:r w:rsidR="00276811">
        <w:rPr>
          <w:rFonts w:asciiTheme="minorHAnsi" w:hAnsiTheme="minorHAnsi" w:cstheme="minorHAnsi"/>
          <w:color w:val="auto"/>
        </w:rPr>
        <w:t xml:space="preserve"> discussed above and </w:t>
      </w:r>
      <w:r w:rsidR="00276811">
        <w:rPr>
          <w:rFonts w:asciiTheme="minorHAnsi" w:hAnsiTheme="minorHAnsi" w:cstheme="minorHAnsi"/>
          <w:color w:val="auto"/>
        </w:rPr>
        <w:t xml:space="preserve">represented </w:t>
      </w:r>
      <w:r w:rsidR="00D846A0">
        <w:rPr>
          <w:rFonts w:asciiTheme="minorHAnsi" w:hAnsiTheme="minorHAnsi" w:cstheme="minorHAnsi"/>
          <w:color w:val="auto"/>
        </w:rPr>
        <w:t xml:space="preserve">in figure </w:t>
      </w:r>
      <w:r w:rsidR="00CF1566">
        <w:rPr>
          <w:rFonts w:asciiTheme="minorHAnsi" w:hAnsiTheme="minorHAnsi" w:cstheme="minorHAnsi"/>
          <w:color w:val="auto"/>
        </w:rPr>
        <w:t>3</w:t>
      </w:r>
      <w:r w:rsidR="00D846A0">
        <w:rPr>
          <w:rFonts w:asciiTheme="minorHAnsi" w:hAnsiTheme="minorHAnsi" w:cstheme="minorHAnsi"/>
          <w:color w:val="auto"/>
        </w:rPr>
        <w:t>.</w:t>
      </w:r>
      <w:r w:rsidR="00E8794A" w:rsidRPr="00E8794A">
        <w:rPr>
          <w:rFonts w:asciiTheme="minorHAnsi" w:hAnsiTheme="minorHAnsi" w:cstheme="minorHAnsi"/>
          <w:color w:val="auto"/>
        </w:rPr>
        <w:t xml:space="preserve"> </w:t>
      </w:r>
      <w:r w:rsidR="00E8794A" w:rsidRPr="00DA6B33">
        <w:rPr>
          <w:rFonts w:asciiTheme="minorHAnsi" w:hAnsiTheme="minorHAnsi" w:cstheme="minorHAnsi"/>
          <w:color w:val="auto"/>
        </w:rPr>
        <w:t xml:space="preserve">It is worth noting </w:t>
      </w:r>
      <w:r w:rsidR="00877E9A">
        <w:rPr>
          <w:rFonts w:asciiTheme="minorHAnsi" w:hAnsiTheme="minorHAnsi" w:cstheme="minorHAnsi"/>
          <w:color w:val="auto"/>
        </w:rPr>
        <w:t xml:space="preserve">the </w:t>
      </w:r>
      <w:r w:rsidR="00E8794A">
        <w:rPr>
          <w:rFonts w:asciiTheme="minorHAnsi" w:hAnsiTheme="minorHAnsi" w:cstheme="minorHAnsi"/>
          <w:color w:val="auto"/>
        </w:rPr>
        <w:t xml:space="preserve">difference </w:t>
      </w:r>
      <w:r w:rsidR="00E8794A" w:rsidRPr="00DA6B33">
        <w:rPr>
          <w:rFonts w:asciiTheme="minorHAnsi" w:hAnsiTheme="minorHAnsi" w:cstheme="minorHAnsi"/>
          <w:color w:val="auto"/>
        </w:rPr>
        <w:t xml:space="preserve">of the </w:t>
      </w:r>
      <w:r w:rsidR="00CF1566">
        <w:rPr>
          <w:rFonts w:asciiTheme="minorHAnsi" w:hAnsiTheme="minorHAnsi" w:cstheme="minorHAnsi"/>
          <w:color w:val="auto"/>
        </w:rPr>
        <w:t>values</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of LET </w:t>
      </w:r>
      <w:r w:rsidR="00E8794A" w:rsidRPr="00DA6B33">
        <w:rPr>
          <w:rFonts w:asciiTheme="minorHAnsi" w:hAnsiTheme="minorHAnsi" w:cstheme="minorHAnsi"/>
          <w:color w:val="auto"/>
        </w:rPr>
        <w:t xml:space="preserve">in Figure </w:t>
      </w:r>
      <w:r w:rsidR="00CF1566">
        <w:rPr>
          <w:rFonts w:asciiTheme="minorHAnsi" w:hAnsiTheme="minorHAnsi" w:cstheme="minorHAnsi"/>
          <w:color w:val="auto"/>
        </w:rPr>
        <w:t>4</w:t>
      </w:r>
      <w:r w:rsidR="00E8794A" w:rsidRPr="00DA6B33">
        <w:rPr>
          <w:rFonts w:asciiTheme="minorHAnsi" w:hAnsiTheme="minorHAnsi" w:cstheme="minorHAnsi"/>
          <w:color w:val="auto"/>
        </w:rPr>
        <w:t xml:space="preserve"> </w:t>
      </w:r>
      <w:r w:rsidR="00877E9A">
        <w:rPr>
          <w:rFonts w:asciiTheme="minorHAnsi" w:hAnsiTheme="minorHAnsi" w:cstheme="minorHAnsi"/>
          <w:color w:val="auto"/>
        </w:rPr>
        <w:t xml:space="preserve">compared to the </w:t>
      </w:r>
      <w:r w:rsidR="00E8794A" w:rsidRPr="00DA6B33">
        <w:rPr>
          <w:rFonts w:asciiTheme="minorHAnsi" w:hAnsiTheme="minorHAnsi" w:cstheme="minorHAnsi"/>
          <w:color w:val="auto"/>
        </w:rPr>
        <w:t xml:space="preserve">mean values </w:t>
      </w:r>
      <w:r w:rsidR="00877E9A">
        <w:rPr>
          <w:rFonts w:asciiTheme="minorHAnsi" w:hAnsiTheme="minorHAnsi" w:cstheme="minorHAnsi"/>
          <w:color w:val="auto"/>
        </w:rPr>
        <w:t xml:space="preserve">of lineal energy </w:t>
      </w:r>
      <w:r w:rsidR="00E8794A" w:rsidRPr="00DA6B33">
        <w:rPr>
          <w:rFonts w:asciiTheme="minorHAnsi" w:hAnsiTheme="minorHAnsi" w:cstheme="minorHAnsi"/>
          <w:color w:val="auto"/>
        </w:rPr>
        <w:t xml:space="preserve">derived from the quasi-Gaussian distributions shown in Figure </w:t>
      </w:r>
      <w:r w:rsidR="00CF1566">
        <w:rPr>
          <w:rFonts w:asciiTheme="minorHAnsi" w:hAnsiTheme="minorHAnsi" w:cstheme="minorHAnsi"/>
          <w:color w:val="auto"/>
        </w:rPr>
        <w:t>5</w:t>
      </w:r>
      <w:r w:rsidR="00E8794A" w:rsidRPr="00DA6B33">
        <w:rPr>
          <w:rFonts w:asciiTheme="minorHAnsi" w:hAnsiTheme="minorHAnsi" w:cstheme="minorHAnsi"/>
          <w:color w:val="auto"/>
        </w:rPr>
        <w:t>. This discrepancy arises because the former</w:t>
      </w:r>
      <w:r w:rsidR="00E8794A">
        <w:rPr>
          <w:rFonts w:asciiTheme="minorHAnsi" w:hAnsiTheme="minorHAnsi" w:cstheme="minorHAnsi"/>
          <w:color w:val="auto"/>
        </w:rPr>
        <w:t>s</w:t>
      </w:r>
      <w:r w:rsidR="00E8794A" w:rsidRPr="00DA6B33">
        <w:rPr>
          <w:rFonts w:asciiTheme="minorHAnsi" w:hAnsiTheme="minorHAnsi" w:cstheme="minorHAnsi"/>
          <w:color w:val="auto"/>
        </w:rPr>
        <w:t xml:space="preserve"> are based on the energy lost, which is systematically higher than the imparted energy on which the latter are based.</w:t>
      </w:r>
    </w:p>
    <w:p w14:paraId="7379A886" w14:textId="3F5CA4AA" w:rsidR="00DF5AD3" w:rsidRDefault="00276811" w:rsidP="00545A7A">
      <w:pPr>
        <w:pStyle w:val="Normal1"/>
        <w:jc w:val="both"/>
        <w:rPr>
          <w:rFonts w:asciiTheme="minorHAnsi" w:hAnsiTheme="minorHAnsi" w:cstheme="minorHAnsi"/>
          <w:color w:val="auto"/>
        </w:rPr>
      </w:pPr>
      <w:r>
        <w:rPr>
          <w:rFonts w:asciiTheme="minorHAnsi" w:hAnsiTheme="minorHAnsi" w:cstheme="minorHAnsi"/>
          <w:color w:val="auto"/>
        </w:rPr>
        <w:t xml:space="preserve">This </w:t>
      </w:r>
      <w:r w:rsidR="00647FDA">
        <w:rPr>
          <w:rFonts w:asciiTheme="minorHAnsi" w:hAnsiTheme="minorHAnsi" w:cstheme="minorHAnsi"/>
          <w:color w:val="auto"/>
        </w:rPr>
        <w:t>computation</w:t>
      </w:r>
      <w:r w:rsidR="00647FDA" w:rsidRPr="0086592C">
        <w:rPr>
          <w:rFonts w:asciiTheme="minorHAnsi" w:hAnsiTheme="minorHAnsi" w:cstheme="minorHAnsi"/>
          <w:color w:val="auto"/>
        </w:rPr>
        <w:t xml:space="preserve"> ignore</w:t>
      </w:r>
      <w:r>
        <w:rPr>
          <w:rFonts w:asciiTheme="minorHAnsi" w:hAnsiTheme="minorHAnsi" w:cstheme="minorHAnsi"/>
          <w:color w:val="auto"/>
        </w:rPr>
        <w:t>s</w:t>
      </w:r>
      <w:r w:rsidR="00647FDA">
        <w:rPr>
          <w:rFonts w:asciiTheme="minorHAnsi" w:hAnsiTheme="minorHAnsi" w:cstheme="minorHAnsi"/>
          <w:color w:val="auto"/>
        </w:rPr>
        <w:t xml:space="preserve"> t</w:t>
      </w:r>
      <w:r w:rsidR="0086592C" w:rsidRPr="0086592C">
        <w:rPr>
          <w:rFonts w:asciiTheme="minorHAnsi" w:hAnsiTheme="minorHAnsi" w:cstheme="minorHAnsi"/>
          <w:color w:val="auto"/>
        </w:rPr>
        <w:t xml:space="preserve">he </w:t>
      </w:r>
      <w:r w:rsidR="0038064E">
        <w:rPr>
          <w:rFonts w:asciiTheme="minorHAnsi" w:hAnsiTheme="minorHAnsi" w:cstheme="minorHAnsi"/>
          <w:color w:val="auto"/>
        </w:rPr>
        <w:t xml:space="preserve">influence of the </w:t>
      </w:r>
      <w:r w:rsidR="0086592C" w:rsidRPr="0086592C">
        <w:rPr>
          <w:rFonts w:asciiTheme="minorHAnsi" w:hAnsiTheme="minorHAnsi" w:cstheme="minorHAnsi"/>
          <w:color w:val="auto"/>
        </w:rPr>
        <w:t>ripple filters</w:t>
      </w:r>
      <w:r w:rsidR="00647FDA">
        <w:rPr>
          <w:rFonts w:asciiTheme="minorHAnsi" w:hAnsiTheme="minorHAnsi" w:cstheme="minorHAnsi"/>
          <w:color w:val="auto"/>
        </w:rPr>
        <w:t xml:space="preserve">, which in clinics are used to slightly modulate the monoenergetic energy resulting in a millimetric spread out Bragg peak. </w:t>
      </w:r>
      <w:r>
        <w:rPr>
          <w:rFonts w:asciiTheme="minorHAnsi" w:hAnsiTheme="minorHAnsi" w:cstheme="minorHAnsi"/>
          <w:color w:val="auto"/>
        </w:rPr>
        <w:t xml:space="preserve">The effect of the </w:t>
      </w:r>
      <w:r w:rsidR="00647FDA">
        <w:rPr>
          <w:rFonts w:asciiTheme="minorHAnsi" w:hAnsiTheme="minorHAnsi" w:cstheme="minorHAnsi"/>
          <w:color w:val="auto"/>
        </w:rPr>
        <w:t xml:space="preserve">ripple filters </w:t>
      </w:r>
      <w:r>
        <w:rPr>
          <w:rFonts w:asciiTheme="minorHAnsi" w:hAnsiTheme="minorHAnsi" w:cstheme="minorHAnsi"/>
          <w:color w:val="auto"/>
        </w:rPr>
        <w:t xml:space="preserve">on the spectra would </w:t>
      </w:r>
      <w:r w:rsidR="004E368C">
        <w:rPr>
          <w:rFonts w:asciiTheme="minorHAnsi" w:hAnsiTheme="minorHAnsi" w:cstheme="minorHAnsi"/>
          <w:color w:val="auto"/>
        </w:rPr>
        <w:t xml:space="preserve">be </w:t>
      </w:r>
      <w:r>
        <w:rPr>
          <w:rFonts w:asciiTheme="minorHAnsi" w:hAnsiTheme="minorHAnsi" w:cstheme="minorHAnsi"/>
          <w:color w:val="auto"/>
        </w:rPr>
        <w:t xml:space="preserve">to </w:t>
      </w:r>
      <w:r w:rsidR="004E368C">
        <w:rPr>
          <w:rFonts w:asciiTheme="minorHAnsi" w:hAnsiTheme="minorHAnsi" w:cstheme="minorHAnsi"/>
          <w:color w:val="auto"/>
        </w:rPr>
        <w:t xml:space="preserve">spread </w:t>
      </w:r>
      <w:r>
        <w:rPr>
          <w:rFonts w:asciiTheme="minorHAnsi" w:hAnsiTheme="minorHAnsi" w:cstheme="minorHAnsi"/>
          <w:color w:val="auto"/>
        </w:rPr>
        <w:t xml:space="preserve">the lineal energy </w:t>
      </w:r>
      <w:r w:rsidR="004E368C">
        <w:rPr>
          <w:rFonts w:asciiTheme="minorHAnsi" w:hAnsiTheme="minorHAnsi" w:cstheme="minorHAnsi"/>
          <w:color w:val="auto"/>
        </w:rPr>
        <w:t xml:space="preserve">to higher values </w:t>
      </w:r>
      <w:r w:rsidR="0038064E">
        <w:rPr>
          <w:rFonts w:asciiTheme="minorHAnsi" w:hAnsiTheme="minorHAnsi" w:cstheme="minorHAnsi"/>
          <w:color w:val="auto"/>
        </w:rPr>
        <w:t xml:space="preserve">and, consequently, </w:t>
      </w:r>
      <w:r>
        <w:rPr>
          <w:rFonts w:asciiTheme="minorHAnsi" w:hAnsiTheme="minorHAnsi" w:cstheme="minorHAnsi"/>
          <w:color w:val="auto"/>
        </w:rPr>
        <w:t xml:space="preserve">make </w:t>
      </w:r>
      <w:r w:rsidR="004E368C">
        <w:rPr>
          <w:rFonts w:asciiTheme="minorHAnsi" w:hAnsiTheme="minorHAnsi" w:cstheme="minorHAnsi"/>
          <w:color w:val="auto"/>
        </w:rPr>
        <w:t xml:space="preserve">the envelop </w:t>
      </w:r>
      <w:r w:rsidR="0038064E">
        <w:rPr>
          <w:rFonts w:asciiTheme="minorHAnsi" w:hAnsiTheme="minorHAnsi" w:cstheme="minorHAnsi"/>
          <w:color w:val="auto"/>
        </w:rPr>
        <w:t xml:space="preserve">more uniform </w:t>
      </w:r>
      <w:r w:rsidR="004D3887">
        <w:rPr>
          <w:rFonts w:asciiTheme="minorHAnsi" w:hAnsiTheme="minorHAnsi" w:cstheme="minorHAnsi"/>
          <w:color w:val="auto"/>
        </w:rPr>
        <w:t xml:space="preserve">particularly </w:t>
      </w:r>
      <w:r w:rsidR="00E530DB">
        <w:rPr>
          <w:rFonts w:asciiTheme="minorHAnsi" w:hAnsiTheme="minorHAnsi" w:cstheme="minorHAnsi"/>
          <w:color w:val="auto"/>
        </w:rPr>
        <w:t>the</w:t>
      </w:r>
      <w:r w:rsidR="004D3887">
        <w:rPr>
          <w:rFonts w:asciiTheme="minorHAnsi" w:hAnsiTheme="minorHAnsi" w:cstheme="minorHAnsi"/>
          <w:color w:val="auto"/>
        </w:rPr>
        <w:t xml:space="preserve"> </w:t>
      </w:r>
      <w:r w:rsidR="0038064E">
        <w:rPr>
          <w:rFonts w:asciiTheme="minorHAnsi" w:hAnsiTheme="minorHAnsi" w:cstheme="minorHAnsi"/>
          <w:color w:val="auto"/>
        </w:rPr>
        <w:t>high</w:t>
      </w:r>
      <w:r w:rsidR="004E368C">
        <w:rPr>
          <w:rFonts w:asciiTheme="minorHAnsi" w:hAnsiTheme="minorHAnsi" w:cstheme="minorHAnsi"/>
          <w:color w:val="auto"/>
        </w:rPr>
        <w:t>est</w:t>
      </w:r>
      <w:r w:rsidR="0038064E">
        <w:rPr>
          <w:rFonts w:asciiTheme="minorHAnsi" w:hAnsiTheme="minorHAnsi" w:cstheme="minorHAnsi"/>
          <w:color w:val="auto"/>
        </w:rPr>
        <w:t xml:space="preserve"> lineal</w:t>
      </w:r>
      <w:r w:rsidR="004E368C">
        <w:rPr>
          <w:rFonts w:asciiTheme="minorHAnsi" w:hAnsiTheme="minorHAnsi" w:cstheme="minorHAnsi"/>
          <w:color w:val="auto"/>
        </w:rPr>
        <w:t xml:space="preserve"> </w:t>
      </w:r>
      <w:r w:rsidR="0038064E">
        <w:rPr>
          <w:rFonts w:asciiTheme="minorHAnsi" w:hAnsiTheme="minorHAnsi" w:cstheme="minorHAnsi"/>
          <w:color w:val="auto"/>
        </w:rPr>
        <w:t>energ</w:t>
      </w:r>
      <w:r w:rsidR="004E368C">
        <w:rPr>
          <w:rFonts w:asciiTheme="minorHAnsi" w:hAnsiTheme="minorHAnsi" w:cstheme="minorHAnsi"/>
          <w:color w:val="auto"/>
        </w:rPr>
        <w:t>ies</w:t>
      </w:r>
      <w:r w:rsidR="0038064E">
        <w:rPr>
          <w:rFonts w:asciiTheme="minorHAnsi" w:hAnsiTheme="minorHAnsi" w:cstheme="minorHAnsi"/>
          <w:color w:val="auto"/>
        </w:rPr>
        <w:t>.</w:t>
      </w:r>
      <w:r w:rsidR="004D3887" w:rsidRPr="004D3887">
        <w:rPr>
          <w:rFonts w:asciiTheme="minorHAnsi" w:hAnsiTheme="minorHAnsi" w:cstheme="minorHAnsi"/>
          <w:color w:val="auto"/>
        </w:rPr>
        <w:t xml:space="preserve"> </w:t>
      </w:r>
      <w:r w:rsidR="004D3887">
        <w:rPr>
          <w:rFonts w:asciiTheme="minorHAnsi" w:hAnsiTheme="minorHAnsi" w:cstheme="minorHAnsi"/>
          <w:color w:val="auto"/>
        </w:rPr>
        <w:t xml:space="preserve">The effect of ripple filters is predetermined and </w:t>
      </w:r>
      <w:r w:rsidR="004E368C">
        <w:rPr>
          <w:rFonts w:asciiTheme="minorHAnsi" w:hAnsiTheme="minorHAnsi" w:cstheme="minorHAnsi"/>
          <w:color w:val="auto"/>
        </w:rPr>
        <w:t>non-stochastic</w:t>
      </w:r>
      <w:r w:rsidR="004D3887">
        <w:rPr>
          <w:rFonts w:asciiTheme="minorHAnsi" w:hAnsiTheme="minorHAnsi" w:cstheme="minorHAnsi"/>
          <w:color w:val="auto"/>
        </w:rPr>
        <w:t>.</w:t>
      </w:r>
    </w:p>
    <w:p w14:paraId="681C2182" w14:textId="15C62FB3" w:rsidR="00B1792F" w:rsidRDefault="003B7513" w:rsidP="00545A7A">
      <w:pPr>
        <w:pStyle w:val="Normal1"/>
        <w:jc w:val="both"/>
        <w:rPr>
          <w:rFonts w:asciiTheme="minorHAnsi" w:hAnsiTheme="minorHAnsi" w:cstheme="minorHAnsi"/>
          <w:color w:val="auto"/>
        </w:rPr>
      </w:pPr>
      <w:r>
        <w:rPr>
          <w:rFonts w:asciiTheme="minorHAnsi" w:hAnsiTheme="minorHAnsi" w:cstheme="minorHAnsi"/>
          <w:noProof/>
          <w:color w:val="auto"/>
        </w:rPr>
        <w:drawing>
          <wp:inline distT="0" distB="0" distL="0" distR="0" wp14:anchorId="5DCD2E25" wp14:editId="2FAA09FB">
            <wp:extent cx="2731878" cy="164528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3087" cy="1658059"/>
                    </a:xfrm>
                    <a:prstGeom prst="rect">
                      <a:avLst/>
                    </a:prstGeom>
                    <a:noFill/>
                  </pic:spPr>
                </pic:pic>
              </a:graphicData>
            </a:graphic>
          </wp:inline>
        </w:drawing>
      </w:r>
    </w:p>
    <w:p w14:paraId="0084D916" w14:textId="6E131B3C" w:rsidR="000E195E" w:rsidRDefault="000E195E" w:rsidP="000E195E">
      <w:pPr>
        <w:pStyle w:val="Normal1"/>
        <w:jc w:val="both"/>
        <w:rPr>
          <w:rFonts w:asciiTheme="minorHAnsi" w:hAnsiTheme="minorHAnsi" w:cstheme="minorHAnsi"/>
          <w:sz w:val="18"/>
          <w:szCs w:val="18"/>
        </w:rPr>
      </w:pPr>
      <w:r w:rsidRPr="00846162">
        <w:rPr>
          <w:rFonts w:asciiTheme="minorHAnsi" w:hAnsiTheme="minorHAnsi" w:cstheme="minorHAnsi"/>
          <w:b/>
          <w:bCs/>
          <w:i/>
          <w:iCs/>
          <w:sz w:val="18"/>
          <w:szCs w:val="18"/>
        </w:rPr>
        <w:t xml:space="preserve">Figure </w:t>
      </w:r>
      <w:r w:rsidR="00CF1566">
        <w:rPr>
          <w:rFonts w:asciiTheme="minorHAnsi" w:hAnsiTheme="minorHAnsi" w:cstheme="minorHAnsi"/>
          <w:b/>
          <w:bCs/>
          <w:i/>
          <w:iCs/>
          <w:sz w:val="18"/>
          <w:szCs w:val="18"/>
        </w:rPr>
        <w:t>5</w:t>
      </w:r>
      <w:r w:rsidRPr="00846162">
        <w:rPr>
          <w:rFonts w:asciiTheme="minorHAnsi" w:hAnsiTheme="minorHAnsi" w:cstheme="minorHAnsi"/>
          <w:sz w:val="18"/>
          <w:szCs w:val="18"/>
        </w:rPr>
        <w:t xml:space="preserve">. </w:t>
      </w:r>
      <w:r w:rsidR="00EF428B">
        <w:rPr>
          <w:rFonts w:asciiTheme="minorHAnsi" w:hAnsiTheme="minorHAnsi" w:cstheme="minorHAnsi"/>
          <w:sz w:val="18"/>
          <w:szCs w:val="18"/>
        </w:rPr>
        <w:t>Experimental m</w:t>
      </w:r>
      <w:r>
        <w:rPr>
          <w:rFonts w:asciiTheme="minorHAnsi" w:hAnsiTheme="minorHAnsi" w:cstheme="minorHAnsi"/>
          <w:sz w:val="18"/>
          <w:szCs w:val="18"/>
        </w:rPr>
        <w:t>icrodosimetric spectr</w:t>
      </w:r>
      <w:r w:rsidR="00025148">
        <w:rPr>
          <w:rFonts w:asciiTheme="minorHAnsi" w:hAnsiTheme="minorHAnsi" w:cstheme="minorHAnsi"/>
          <w:sz w:val="18"/>
          <w:szCs w:val="18"/>
        </w:rPr>
        <w:t>um</w:t>
      </w:r>
      <w:r>
        <w:rPr>
          <w:rFonts w:asciiTheme="minorHAnsi" w:hAnsiTheme="minorHAnsi" w:cstheme="minorHAnsi"/>
          <w:sz w:val="18"/>
          <w:szCs w:val="18"/>
        </w:rPr>
        <w:t xml:space="preserve"> </w:t>
      </w:r>
      <w:r w:rsidR="00025148">
        <w:rPr>
          <w:rFonts w:asciiTheme="minorHAnsi" w:hAnsiTheme="minorHAnsi" w:cstheme="minorHAnsi"/>
          <w:sz w:val="18"/>
          <w:szCs w:val="18"/>
        </w:rPr>
        <w:t xml:space="preserve">(black line) </w:t>
      </w:r>
      <w:r w:rsidR="00CE077C">
        <w:rPr>
          <w:rFonts w:asciiTheme="minorHAnsi" w:hAnsiTheme="minorHAnsi" w:cstheme="minorHAnsi"/>
          <w:sz w:val="18"/>
          <w:szCs w:val="18"/>
        </w:rPr>
        <w:t xml:space="preserve">representing the </w:t>
      </w:r>
      <w:r>
        <w:rPr>
          <w:rFonts w:asciiTheme="minorHAnsi" w:hAnsiTheme="minorHAnsi" w:cstheme="minorHAnsi"/>
          <w:sz w:val="18"/>
          <w:szCs w:val="18"/>
        </w:rPr>
        <w:t>frequency distribution</w:t>
      </w:r>
      <w:r w:rsidR="00CE077C">
        <w:rPr>
          <w:rFonts w:asciiTheme="minorHAnsi" w:hAnsiTheme="minorHAnsi" w:cstheme="minorHAnsi"/>
          <w:sz w:val="18"/>
          <w:szCs w:val="18"/>
        </w:rPr>
        <w:t xml:space="preserve"> in lineal energy</w:t>
      </w:r>
      <w:r>
        <w:rPr>
          <w:rFonts w:asciiTheme="minorHAnsi" w:hAnsiTheme="minorHAnsi" w:cstheme="minorHAnsi"/>
          <w:sz w:val="18"/>
          <w:szCs w:val="18"/>
        </w:rPr>
        <w:t>, f(y)</w:t>
      </w:r>
      <w:r w:rsidR="0080160D">
        <w:rPr>
          <w:rFonts w:asciiTheme="minorHAnsi" w:hAnsiTheme="minorHAnsi" w:cstheme="minorHAnsi"/>
          <w:sz w:val="18"/>
          <w:szCs w:val="18"/>
        </w:rPr>
        <w:t>; the spectrum is truncated to exclude the part below 20 keV·µm</w:t>
      </w:r>
      <w:r w:rsidR="0080160D" w:rsidRPr="0080160D">
        <w:rPr>
          <w:rFonts w:asciiTheme="minorHAnsi" w:hAnsiTheme="minorHAnsi" w:cstheme="minorHAnsi"/>
          <w:sz w:val="18"/>
          <w:szCs w:val="18"/>
          <w:vertAlign w:val="superscript"/>
        </w:rPr>
        <w:t>-1</w:t>
      </w:r>
      <w:r w:rsidR="00CE077C">
        <w:rPr>
          <w:rFonts w:asciiTheme="minorHAnsi" w:hAnsiTheme="minorHAnsi" w:cstheme="minorHAnsi"/>
          <w:sz w:val="18"/>
          <w:szCs w:val="18"/>
        </w:rPr>
        <w:t xml:space="preserve">. </w:t>
      </w:r>
      <w:r w:rsidR="00CE077C" w:rsidRPr="00CE077C">
        <w:rPr>
          <w:rFonts w:asciiTheme="minorHAnsi" w:hAnsiTheme="minorHAnsi" w:cstheme="minorHAnsi"/>
          <w:sz w:val="18"/>
          <w:szCs w:val="18"/>
        </w:rPr>
        <w:t xml:space="preserve">The quasi-Gaussian curves </w:t>
      </w:r>
      <w:r w:rsidR="00CE077C">
        <w:rPr>
          <w:rFonts w:asciiTheme="minorHAnsi" w:hAnsiTheme="minorHAnsi" w:cstheme="minorHAnsi"/>
          <w:sz w:val="18"/>
          <w:szCs w:val="18"/>
        </w:rPr>
        <w:t xml:space="preserve">(dashed lines in multiple colors) </w:t>
      </w:r>
      <w:r w:rsidR="00CE077C" w:rsidRPr="00CE077C">
        <w:rPr>
          <w:rFonts w:asciiTheme="minorHAnsi" w:hAnsiTheme="minorHAnsi" w:cstheme="minorHAnsi"/>
          <w:sz w:val="18"/>
          <w:szCs w:val="18"/>
        </w:rPr>
        <w:t xml:space="preserve">are the </w:t>
      </w:r>
      <w:r w:rsidR="00CE077C">
        <w:rPr>
          <w:rFonts w:asciiTheme="minorHAnsi" w:hAnsiTheme="minorHAnsi" w:cstheme="minorHAnsi"/>
          <w:sz w:val="18"/>
          <w:szCs w:val="18"/>
        </w:rPr>
        <w:t xml:space="preserve">lineal energy distributions </w:t>
      </w:r>
      <w:r w:rsidR="00CE077C" w:rsidRPr="00CE077C">
        <w:rPr>
          <w:rFonts w:asciiTheme="minorHAnsi" w:hAnsiTheme="minorHAnsi" w:cstheme="minorHAnsi"/>
          <w:sz w:val="18"/>
          <w:szCs w:val="18"/>
        </w:rPr>
        <w:t>calculated for each distinctive monoenergetic beam</w:t>
      </w:r>
      <w:r w:rsidR="00CE077C">
        <w:rPr>
          <w:rFonts w:asciiTheme="minorHAnsi" w:hAnsiTheme="minorHAnsi" w:cstheme="minorHAnsi"/>
          <w:sz w:val="18"/>
          <w:szCs w:val="18"/>
        </w:rPr>
        <w:t xml:space="preserve"> entering the voxel </w:t>
      </w:r>
      <w:r w:rsidR="00484C65">
        <w:rPr>
          <w:rFonts w:asciiTheme="minorHAnsi" w:hAnsiTheme="minorHAnsi" w:cstheme="minorHAnsi"/>
          <w:sz w:val="18"/>
          <w:szCs w:val="18"/>
        </w:rPr>
        <w:t xml:space="preserve">represented in figure </w:t>
      </w:r>
      <w:r w:rsidR="00CF1566">
        <w:rPr>
          <w:rFonts w:asciiTheme="minorHAnsi" w:hAnsiTheme="minorHAnsi" w:cstheme="minorHAnsi"/>
          <w:sz w:val="18"/>
          <w:szCs w:val="18"/>
        </w:rPr>
        <w:t>3</w:t>
      </w:r>
      <w:r w:rsidR="00484C65">
        <w:rPr>
          <w:rFonts w:asciiTheme="minorHAnsi" w:hAnsiTheme="minorHAnsi" w:cstheme="minorHAnsi"/>
          <w:sz w:val="18"/>
          <w:szCs w:val="18"/>
        </w:rPr>
        <w:t>.</w:t>
      </w:r>
      <w:r>
        <w:rPr>
          <w:rFonts w:asciiTheme="minorHAnsi" w:hAnsiTheme="minorHAnsi" w:cstheme="minorHAnsi"/>
          <w:sz w:val="18"/>
          <w:szCs w:val="18"/>
        </w:rPr>
        <w:t xml:space="preserve"> </w:t>
      </w:r>
      <w:r w:rsidR="00EF428B">
        <w:rPr>
          <w:rFonts w:asciiTheme="minorHAnsi" w:hAnsiTheme="minorHAnsi" w:cstheme="minorHAnsi"/>
          <w:sz w:val="18"/>
          <w:szCs w:val="18"/>
        </w:rPr>
        <w:t xml:space="preserve">The envelope of the contributions of all quasi-Gaussian curves is represented with the continuous red line. The normalizations are done </w:t>
      </w:r>
      <w:r w:rsidR="00E8794A">
        <w:rPr>
          <w:rFonts w:asciiTheme="minorHAnsi" w:hAnsiTheme="minorHAnsi" w:cstheme="minorHAnsi"/>
          <w:sz w:val="18"/>
          <w:szCs w:val="18"/>
        </w:rPr>
        <w:t xml:space="preserve">to have unitary maxima of the </w:t>
      </w:r>
      <w:r w:rsidR="00EF428B">
        <w:rPr>
          <w:rFonts w:asciiTheme="minorHAnsi" w:hAnsiTheme="minorHAnsi" w:cstheme="minorHAnsi"/>
          <w:sz w:val="18"/>
          <w:szCs w:val="18"/>
        </w:rPr>
        <w:t xml:space="preserve">experimental and envelope </w:t>
      </w:r>
      <w:r w:rsidR="00E8794A">
        <w:rPr>
          <w:rFonts w:asciiTheme="minorHAnsi" w:hAnsiTheme="minorHAnsi" w:cstheme="minorHAnsi"/>
          <w:sz w:val="18"/>
          <w:szCs w:val="18"/>
        </w:rPr>
        <w:t>curves</w:t>
      </w:r>
      <w:r w:rsidR="00EF428B">
        <w:rPr>
          <w:rFonts w:asciiTheme="minorHAnsi" w:hAnsiTheme="minorHAnsi" w:cstheme="minorHAnsi"/>
          <w:sz w:val="18"/>
          <w:szCs w:val="18"/>
        </w:rPr>
        <w:t xml:space="preserve">. </w:t>
      </w:r>
    </w:p>
    <w:p w14:paraId="29BF9AEC" w14:textId="02A7288C" w:rsidR="00E530DB" w:rsidRDefault="002D24FA" w:rsidP="002D24FA">
      <w:pPr>
        <w:pStyle w:val="Normal1"/>
        <w:jc w:val="both"/>
        <w:rPr>
          <w:rFonts w:asciiTheme="minorHAnsi" w:hAnsiTheme="minorHAnsi" w:cstheme="minorHAnsi"/>
          <w:color w:val="auto"/>
        </w:rPr>
      </w:pPr>
      <w:r>
        <w:rPr>
          <w:rFonts w:asciiTheme="minorHAnsi" w:hAnsiTheme="minorHAnsi" w:cstheme="minorHAnsi"/>
          <w:color w:val="auto"/>
        </w:rPr>
        <w:t xml:space="preserve">In conclusion, the microdosimetric spectra collected in conditions which are realistically representing the clinical irradiation are the result of both stochastic and non-stochastic contributions. The comparison of </w:t>
      </w:r>
      <w:r w:rsidRPr="00CF1566">
        <w:rPr>
          <w:rFonts w:asciiTheme="minorHAnsi" w:hAnsiTheme="minorHAnsi" w:cstheme="minorHAnsi"/>
          <w:color w:val="auto"/>
        </w:rPr>
        <w:t xml:space="preserve">figures </w:t>
      </w:r>
      <w:r w:rsidR="00CF1566" w:rsidRPr="00CF1566">
        <w:rPr>
          <w:rFonts w:asciiTheme="minorHAnsi" w:hAnsiTheme="minorHAnsi" w:cstheme="minorHAnsi"/>
          <w:color w:val="auto"/>
        </w:rPr>
        <w:t>4</w:t>
      </w:r>
      <w:r w:rsidRPr="00CF1566">
        <w:rPr>
          <w:rFonts w:asciiTheme="minorHAnsi" w:hAnsiTheme="minorHAnsi" w:cstheme="minorHAnsi"/>
          <w:color w:val="auto"/>
        </w:rPr>
        <w:t xml:space="preserve"> and </w:t>
      </w:r>
      <w:r w:rsidR="00CF1566" w:rsidRPr="00CF1566">
        <w:rPr>
          <w:rFonts w:asciiTheme="minorHAnsi" w:hAnsiTheme="minorHAnsi" w:cstheme="minorHAnsi"/>
          <w:color w:val="auto"/>
        </w:rPr>
        <w:t>5</w:t>
      </w:r>
      <w:r w:rsidRPr="00CF1566">
        <w:rPr>
          <w:rFonts w:asciiTheme="minorHAnsi" w:hAnsiTheme="minorHAnsi" w:cstheme="minorHAnsi"/>
          <w:color w:val="auto"/>
        </w:rPr>
        <w:t>, th</w:t>
      </w:r>
      <w:r>
        <w:rPr>
          <w:rFonts w:asciiTheme="minorHAnsi" w:hAnsiTheme="minorHAnsi" w:cstheme="minorHAnsi"/>
          <w:color w:val="auto"/>
        </w:rPr>
        <w:t>e first being a complete non-stochastic characterization the second being a combination of stochastic and non-stochastic characteristics, is a guide to the discussion on what is the most clinically relevant.</w:t>
      </w:r>
    </w:p>
    <w:p w14:paraId="4F667688" w14:textId="77777777" w:rsidR="0051110A" w:rsidRDefault="0051110A" w:rsidP="002D24FA">
      <w:pPr>
        <w:pStyle w:val="Normal1"/>
        <w:jc w:val="both"/>
        <w:rPr>
          <w:rFonts w:asciiTheme="minorHAnsi" w:hAnsiTheme="minorHAnsi" w:cstheme="minorHAnsi"/>
          <w:b/>
          <w:bCs/>
          <w:color w:val="auto"/>
        </w:rPr>
      </w:pPr>
    </w:p>
    <w:p w14:paraId="6BF41220" w14:textId="77777777" w:rsidR="0051110A" w:rsidRDefault="0051110A" w:rsidP="002D24FA">
      <w:pPr>
        <w:pStyle w:val="Normal1"/>
        <w:jc w:val="both"/>
        <w:rPr>
          <w:rFonts w:asciiTheme="minorHAnsi" w:hAnsiTheme="minorHAnsi" w:cstheme="minorHAnsi"/>
          <w:b/>
          <w:bCs/>
          <w:color w:val="auto"/>
        </w:rPr>
      </w:pPr>
    </w:p>
    <w:p w14:paraId="4E5C53B4" w14:textId="28DE1C65" w:rsidR="0080160D" w:rsidRPr="00E530DB" w:rsidRDefault="00E530DB" w:rsidP="002D24FA">
      <w:pPr>
        <w:pStyle w:val="Normal1"/>
        <w:jc w:val="both"/>
        <w:rPr>
          <w:rFonts w:asciiTheme="minorHAnsi" w:hAnsiTheme="minorHAnsi" w:cstheme="minorHAnsi"/>
          <w:b/>
          <w:bCs/>
          <w:color w:val="auto"/>
        </w:rPr>
      </w:pPr>
      <w:r>
        <w:rPr>
          <w:rFonts w:asciiTheme="minorHAnsi" w:hAnsiTheme="minorHAnsi" w:cstheme="minorHAnsi"/>
          <w:b/>
          <w:bCs/>
          <w:color w:val="auto"/>
        </w:rPr>
        <w:lastRenderedPageBreak/>
        <w:t>Stochasticity in</w:t>
      </w:r>
      <w:r w:rsidRPr="00E530DB">
        <w:rPr>
          <w:rFonts w:asciiTheme="minorHAnsi" w:hAnsiTheme="minorHAnsi" w:cstheme="minorHAnsi"/>
          <w:b/>
          <w:bCs/>
          <w:color w:val="auto"/>
        </w:rPr>
        <w:t xml:space="preserve"> </w:t>
      </w:r>
      <w:r>
        <w:rPr>
          <w:rFonts w:asciiTheme="minorHAnsi" w:hAnsiTheme="minorHAnsi" w:cstheme="minorHAnsi"/>
          <w:b/>
          <w:bCs/>
          <w:color w:val="auto"/>
        </w:rPr>
        <w:t xml:space="preserve">today’s </w:t>
      </w:r>
      <w:r w:rsidRPr="00E530DB">
        <w:rPr>
          <w:rFonts w:asciiTheme="minorHAnsi" w:hAnsiTheme="minorHAnsi" w:cstheme="minorHAnsi"/>
          <w:b/>
          <w:bCs/>
          <w:color w:val="auto"/>
        </w:rPr>
        <w:t>uses</w:t>
      </w:r>
      <w:r w:rsidR="002D24FA" w:rsidRPr="00E530DB">
        <w:rPr>
          <w:rFonts w:asciiTheme="minorHAnsi" w:hAnsiTheme="minorHAnsi" w:cstheme="minorHAnsi"/>
          <w:b/>
          <w:bCs/>
          <w:color w:val="auto"/>
        </w:rPr>
        <w:t xml:space="preserve"> </w:t>
      </w:r>
    </w:p>
    <w:p w14:paraId="2BE6D5DF" w14:textId="7E0E2473" w:rsidR="002D24FA" w:rsidRDefault="0080160D" w:rsidP="002D24FA">
      <w:pPr>
        <w:pStyle w:val="Normal1"/>
        <w:jc w:val="both"/>
        <w:rPr>
          <w:rFonts w:asciiTheme="minorHAnsi" w:hAnsiTheme="minorHAnsi" w:cstheme="minorHAnsi"/>
          <w:color w:val="auto"/>
        </w:rPr>
      </w:pPr>
      <w:r>
        <w:rPr>
          <w:rFonts w:asciiTheme="minorHAnsi" w:hAnsiTheme="minorHAnsi" w:cstheme="minorHAnsi"/>
          <w:color w:val="auto"/>
        </w:rPr>
        <w:t>T</w:t>
      </w:r>
      <w:r w:rsidR="00E530DB">
        <w:rPr>
          <w:rFonts w:asciiTheme="minorHAnsi" w:hAnsiTheme="minorHAnsi" w:cstheme="minorHAnsi"/>
          <w:color w:val="auto"/>
        </w:rPr>
        <w:t xml:space="preserve">he </w:t>
      </w:r>
      <w:r>
        <w:rPr>
          <w:rFonts w:asciiTheme="minorHAnsi" w:hAnsiTheme="minorHAnsi" w:cstheme="minorHAnsi"/>
          <w:color w:val="auto"/>
        </w:rPr>
        <w:t>a</w:t>
      </w:r>
      <w:r w:rsidR="002D24FA" w:rsidRPr="001C5C7B">
        <w:rPr>
          <w:rFonts w:asciiTheme="minorHAnsi" w:hAnsiTheme="minorHAnsi" w:cstheme="minorHAnsi"/>
          <w:color w:val="auto"/>
        </w:rPr>
        <w:t>ttention is</w:t>
      </w:r>
      <w:r w:rsidR="002D24FA">
        <w:rPr>
          <w:rFonts w:asciiTheme="minorHAnsi" w:hAnsiTheme="minorHAnsi" w:cstheme="minorHAnsi"/>
          <w:color w:val="auto"/>
        </w:rPr>
        <w:t xml:space="preserve"> </w:t>
      </w:r>
      <w:r w:rsidR="002D24FA" w:rsidRPr="001C5C7B">
        <w:rPr>
          <w:rFonts w:asciiTheme="minorHAnsi" w:hAnsiTheme="minorHAnsi" w:cstheme="minorHAnsi"/>
          <w:color w:val="auto"/>
        </w:rPr>
        <w:t xml:space="preserve">directed </w:t>
      </w:r>
      <w:r>
        <w:rPr>
          <w:rFonts w:asciiTheme="minorHAnsi" w:hAnsiTheme="minorHAnsi" w:cstheme="minorHAnsi"/>
          <w:color w:val="auto"/>
        </w:rPr>
        <w:t xml:space="preserve">here </w:t>
      </w:r>
      <w:r w:rsidR="002D24FA" w:rsidRPr="001C5C7B">
        <w:rPr>
          <w:rFonts w:asciiTheme="minorHAnsi" w:hAnsiTheme="minorHAnsi" w:cstheme="minorHAnsi"/>
          <w:color w:val="auto"/>
        </w:rPr>
        <w:t xml:space="preserve">toward </w:t>
      </w:r>
      <w:r w:rsidR="00E530DB">
        <w:rPr>
          <w:rFonts w:asciiTheme="minorHAnsi" w:hAnsiTheme="minorHAnsi" w:cstheme="minorHAnsi"/>
          <w:color w:val="auto"/>
        </w:rPr>
        <w:t xml:space="preserve">concepts </w:t>
      </w:r>
      <w:r w:rsidR="002D24FA" w:rsidRPr="001C5C7B">
        <w:rPr>
          <w:rFonts w:asciiTheme="minorHAnsi" w:hAnsiTheme="minorHAnsi" w:cstheme="minorHAnsi"/>
          <w:color w:val="auto"/>
        </w:rPr>
        <w:t xml:space="preserve">that incorporate spectral information </w:t>
      </w:r>
      <w:r w:rsidR="00E530DB">
        <w:rPr>
          <w:rFonts w:asciiTheme="minorHAnsi" w:hAnsiTheme="minorHAnsi" w:cstheme="minorHAnsi"/>
          <w:color w:val="auto"/>
        </w:rPr>
        <w:t xml:space="preserve">on </w:t>
      </w:r>
      <w:r w:rsidR="002D24FA" w:rsidRPr="001C5C7B">
        <w:rPr>
          <w:rFonts w:asciiTheme="minorHAnsi" w:hAnsiTheme="minorHAnsi" w:cstheme="minorHAnsi"/>
          <w:color w:val="auto"/>
        </w:rPr>
        <w:t>radiation quality.</w:t>
      </w:r>
      <w:r w:rsidR="002D24FA">
        <w:rPr>
          <w:rFonts w:asciiTheme="minorHAnsi" w:hAnsiTheme="minorHAnsi" w:cstheme="minorHAnsi"/>
          <w:color w:val="auto"/>
        </w:rPr>
        <w:t xml:space="preserve"> </w:t>
      </w:r>
    </w:p>
    <w:p w14:paraId="0F0DD44B" w14:textId="3C42D0F8" w:rsidR="0006538E" w:rsidRDefault="00BF192E" w:rsidP="002D24FA">
      <w:pPr>
        <w:pStyle w:val="Normal1"/>
        <w:jc w:val="both"/>
        <w:rPr>
          <w:rFonts w:asciiTheme="minorHAnsi" w:hAnsiTheme="minorHAnsi" w:cstheme="minorHAnsi"/>
          <w:color w:val="auto"/>
        </w:rPr>
      </w:pPr>
      <w:r>
        <w:rPr>
          <w:rFonts w:asciiTheme="minorHAnsi" w:hAnsiTheme="minorHAnsi" w:cstheme="minorHAnsi"/>
          <w:color w:val="auto"/>
        </w:rPr>
        <w:t>Possibly t</w:t>
      </w:r>
      <w:r w:rsidR="002D24FA" w:rsidRPr="00DA6B33">
        <w:rPr>
          <w:rFonts w:asciiTheme="minorHAnsi" w:hAnsiTheme="minorHAnsi" w:cstheme="minorHAnsi"/>
          <w:color w:val="auto"/>
        </w:rPr>
        <w:t xml:space="preserve">he most relevant </w:t>
      </w:r>
      <w:r>
        <w:rPr>
          <w:rFonts w:asciiTheme="minorHAnsi" w:hAnsiTheme="minorHAnsi" w:cstheme="minorHAnsi"/>
          <w:color w:val="auto"/>
        </w:rPr>
        <w:t xml:space="preserve">in clinics </w:t>
      </w:r>
      <w:r w:rsidR="002D24FA" w:rsidRPr="00DA6B33">
        <w:rPr>
          <w:rFonts w:asciiTheme="minorHAnsi" w:hAnsiTheme="minorHAnsi" w:cstheme="minorHAnsi"/>
          <w:color w:val="auto"/>
        </w:rPr>
        <w:t xml:space="preserve">is the Microdosimetric Kinetic Model (MKM), in which </w:t>
      </w:r>
      <w:r w:rsidR="0080160D">
        <w:rPr>
          <w:rFonts w:asciiTheme="minorHAnsi" w:hAnsiTheme="minorHAnsi" w:cstheme="minorHAnsi"/>
          <w:color w:val="auto"/>
        </w:rPr>
        <w:t xml:space="preserve">the </w:t>
      </w:r>
      <w:r w:rsidR="00E8794A">
        <w:rPr>
          <w:rFonts w:asciiTheme="minorHAnsi" w:hAnsiTheme="minorHAnsi" w:cstheme="minorHAnsi"/>
          <w:color w:val="auto"/>
        </w:rPr>
        <w:t xml:space="preserve">biological </w:t>
      </w:r>
      <w:r w:rsidR="0080160D">
        <w:rPr>
          <w:rFonts w:asciiTheme="minorHAnsi" w:hAnsiTheme="minorHAnsi" w:cstheme="minorHAnsi"/>
          <w:color w:val="auto"/>
        </w:rPr>
        <w:t xml:space="preserve">effectiveness is derived </w:t>
      </w:r>
      <w:r w:rsidR="00E8794A">
        <w:rPr>
          <w:rFonts w:asciiTheme="minorHAnsi" w:hAnsiTheme="minorHAnsi" w:cstheme="minorHAnsi"/>
          <w:color w:val="auto"/>
        </w:rPr>
        <w:t xml:space="preserve">using </w:t>
      </w:r>
      <w:r w:rsidR="00E8794A" w:rsidRPr="00DA6B33">
        <w:rPr>
          <w:rFonts w:asciiTheme="minorHAnsi" w:hAnsiTheme="minorHAnsi" w:cstheme="minorHAnsi"/>
          <w:color w:val="auto"/>
        </w:rPr>
        <w:t>the saturation-corrected dose-mean lineal energy</w:t>
      </w:r>
      <w:r w:rsidR="00E8794A">
        <w:rPr>
          <w:rFonts w:asciiTheme="minorHAnsi" w:hAnsiTheme="minorHAnsi" w:cstheme="minorHAnsi"/>
          <w:color w:val="auto"/>
        </w:rPr>
        <w:t xml:space="preserve">, </w:t>
      </w:r>
      <w:r w:rsidR="00E8794A" w:rsidRPr="00E878C4">
        <w:rPr>
          <w:rFonts w:asciiTheme="minorHAnsi" w:hAnsiTheme="minorHAnsi" w:cstheme="minorHAnsi"/>
          <w:i/>
          <w:iCs/>
          <w:color w:val="auto"/>
        </w:rPr>
        <w:t>y*</w:t>
      </w:r>
      <w:r w:rsidR="00E8794A">
        <w:rPr>
          <w:rFonts w:asciiTheme="minorHAnsi" w:hAnsiTheme="minorHAnsi" w:cstheme="minorHAnsi"/>
          <w:color w:val="auto"/>
        </w:rPr>
        <w:t xml:space="preserve">. </w:t>
      </w:r>
    </w:p>
    <w:p w14:paraId="2ABC24DF" w14:textId="5FBB0AB7" w:rsidR="0006538E" w:rsidRPr="00FD6A23" w:rsidRDefault="00F77EF2" w:rsidP="0006538E">
      <w:pPr>
        <w:pStyle w:val="Normal1"/>
        <w:jc w:val="both"/>
        <w:rPr>
          <w:rFonts w:asciiTheme="minorHAnsi" w:eastAsiaTheme="minorEastAsia" w:hAnsiTheme="minorHAnsi" w:cstheme="minorHAnsi"/>
          <w:color w:val="auto"/>
        </w:rPr>
      </w:pPr>
      <m:oMathPara>
        <m:oMath>
          <m:sSup>
            <m:sSupPr>
              <m:ctrlPr>
                <w:rPr>
                  <w:rFonts w:ascii="Cambria Math" w:hAnsi="Cambria Math" w:cstheme="minorHAnsi"/>
                  <w:i/>
                  <w:iCs/>
                  <w:color w:val="auto"/>
                  <w:lang w:val="de-DE"/>
                </w:rPr>
              </m:ctrlPr>
            </m:sSupPr>
            <m:e>
              <m:r>
                <w:rPr>
                  <w:rFonts w:ascii="Cambria Math" w:hAnsi="Cambria Math" w:cstheme="minorHAnsi"/>
                  <w:color w:val="auto"/>
                </w:rPr>
                <m:t>y</m:t>
              </m:r>
            </m:e>
            <m:sup>
              <m:r>
                <w:rPr>
                  <w:rFonts w:ascii="Cambria Math" w:hAnsi="Cambria Math" w:cstheme="minorHAnsi"/>
                  <w:color w:val="auto"/>
                </w:rPr>
                <m:t>*</m:t>
              </m:r>
            </m:sup>
          </m:sSup>
          <m:r>
            <w:rPr>
              <w:rFonts w:ascii="Cambria Math" w:hAnsi="Cambria Math" w:cstheme="minorHAnsi"/>
              <w:color w:val="auto"/>
            </w:rPr>
            <m:t>=</m:t>
          </m:r>
          <m:nary>
            <m:naryPr>
              <m:ctrlPr>
                <w:rPr>
                  <w:rFonts w:ascii="Cambria Math" w:hAnsi="Cambria Math" w:cstheme="minorHAnsi"/>
                  <w:i/>
                  <w:iCs/>
                  <w:color w:val="auto"/>
                </w:rPr>
              </m:ctrlPr>
            </m:naryPr>
            <m:sub>
              <m:r>
                <w:rPr>
                  <w:rFonts w:ascii="Cambria Math" w:hAnsi="Cambria Math" w:cstheme="minorHAnsi"/>
                  <w:color w:val="auto"/>
                </w:rPr>
                <m:t>0</m:t>
              </m:r>
            </m:sub>
            <m:sup>
              <m:r>
                <w:rPr>
                  <w:rFonts w:ascii="Cambria Math" w:hAnsi="Cambria Math" w:cstheme="minorHAnsi"/>
                  <w:color w:val="auto"/>
                </w:rPr>
                <m:t>∞</m:t>
              </m:r>
            </m:sup>
            <m:e>
              <m:r>
                <w:rPr>
                  <w:rFonts w:ascii="Cambria Math" w:hAnsi="Cambria Math" w:cstheme="minorHAnsi"/>
                  <w:color w:val="auto"/>
                </w:rPr>
                <m:t> y f</m:t>
              </m:r>
              <m:d>
                <m:dPr>
                  <m:ctrlPr>
                    <w:rPr>
                      <w:rFonts w:ascii="Cambria Math" w:hAnsi="Cambria Math" w:cstheme="minorHAnsi"/>
                      <w:i/>
                      <w:iCs/>
                      <w:color w:val="auto"/>
                    </w:rPr>
                  </m:ctrlPr>
                </m:dPr>
                <m:e>
                  <m:r>
                    <w:rPr>
                      <w:rFonts w:ascii="Cambria Math" w:hAnsi="Cambria Math" w:cstheme="minorHAnsi"/>
                      <w:color w:val="auto"/>
                    </w:rPr>
                    <m:t>y</m:t>
                  </m:r>
                </m:e>
              </m:d>
              <m:r>
                <w:rPr>
                  <w:rFonts w:ascii="Cambria Math" w:hAnsi="Cambria Math" w:cstheme="minorHAnsi"/>
                  <w:color w:val="auto"/>
                </w:rPr>
                <m:t>·w(y,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r>
                <w:rPr>
                  <w:rFonts w:ascii="Cambria Math" w:hAnsi="Cambria Math" w:cstheme="minorHAnsi"/>
                  <w:color w:val="auto"/>
                </w:rPr>
                <m:t>)ⅆy</m:t>
              </m:r>
            </m:e>
          </m:nary>
          <m:r>
            <m:rPr>
              <m:sty m:val="p"/>
            </m:rPr>
            <w:rPr>
              <w:rFonts w:ascii="Cambria Math" w:hAnsi="Cambria Math" w:cstheme="minorHAnsi"/>
              <w:color w:val="auto"/>
            </w:rPr>
            <m:t xml:space="preserve"> </m:t>
          </m:r>
        </m:oMath>
      </m:oMathPara>
    </w:p>
    <w:p w14:paraId="10A2E257" w14:textId="1BB45D20" w:rsidR="00FD6A23" w:rsidRDefault="00FD6A23" w:rsidP="0006538E">
      <w:pPr>
        <w:pStyle w:val="Normal1"/>
        <w:jc w:val="both"/>
        <w:rPr>
          <w:rFonts w:asciiTheme="minorHAnsi" w:eastAsiaTheme="minorEastAsia" w:hAnsiTheme="minorHAnsi" w:cstheme="minorHAnsi"/>
          <w:color w:val="auto"/>
        </w:rPr>
      </w:pPr>
      <w:r>
        <w:rPr>
          <w:rFonts w:asciiTheme="minorHAnsi" w:eastAsiaTheme="minorEastAsia" w:hAnsiTheme="minorHAnsi" w:cstheme="minorHAnsi"/>
          <w:color w:val="auto"/>
        </w:rPr>
        <w:t xml:space="preserve">where the </w:t>
      </w:r>
      <w:r w:rsidR="0086552B">
        <w:rPr>
          <w:rFonts w:asciiTheme="minorHAnsi" w:eastAsiaTheme="minorEastAsia" w:hAnsiTheme="minorHAnsi" w:cstheme="minorHAnsi"/>
          <w:color w:val="auto"/>
        </w:rPr>
        <w:t xml:space="preserve">saturation </w:t>
      </w:r>
      <w:r>
        <w:rPr>
          <w:rFonts w:asciiTheme="minorHAnsi" w:eastAsiaTheme="minorEastAsia" w:hAnsiTheme="minorHAnsi" w:cstheme="minorHAnsi"/>
          <w:color w:val="auto"/>
        </w:rPr>
        <w:t xml:space="preserve">weighting </w:t>
      </w:r>
      <w:r w:rsidR="00BF192E">
        <w:rPr>
          <w:rFonts w:asciiTheme="minorHAnsi" w:eastAsiaTheme="minorEastAsia" w:hAnsiTheme="minorHAnsi" w:cstheme="minorHAnsi"/>
          <w:color w:val="auto"/>
        </w:rPr>
        <w:t xml:space="preserve">function </w:t>
      </w:r>
      <w:r w:rsidR="00BF192E" w:rsidRPr="00BF192E">
        <w:rPr>
          <w:rFonts w:asciiTheme="minorHAnsi" w:eastAsiaTheme="minorEastAsia" w:hAnsiTheme="minorHAnsi" w:cstheme="minorHAnsi"/>
          <w:i/>
          <w:iCs/>
          <w:color w:val="auto"/>
        </w:rPr>
        <w:t>w(y,y</w:t>
      </w:r>
      <w:r w:rsidR="00BF192E" w:rsidRPr="00BF192E">
        <w:rPr>
          <w:rFonts w:asciiTheme="minorHAnsi" w:eastAsiaTheme="minorEastAsia" w:hAnsiTheme="minorHAnsi" w:cstheme="minorHAnsi"/>
          <w:i/>
          <w:iCs/>
          <w:color w:val="auto"/>
          <w:vertAlign w:val="subscript"/>
        </w:rPr>
        <w:t>0</w:t>
      </w:r>
      <w:r w:rsidR="00BF192E" w:rsidRPr="00BF192E">
        <w:rPr>
          <w:rFonts w:asciiTheme="minorHAnsi" w:eastAsiaTheme="minorEastAsia" w:hAnsiTheme="minorHAnsi" w:cstheme="minorHAnsi"/>
          <w:i/>
          <w:iCs/>
          <w:color w:val="auto"/>
        </w:rPr>
        <w:t>)</w:t>
      </w:r>
      <w:r w:rsidR="00BF192E">
        <w:rPr>
          <w:rFonts w:asciiTheme="minorHAnsi" w:eastAsiaTheme="minorEastAsia" w:hAnsiTheme="minorHAnsi" w:cstheme="minorHAnsi"/>
          <w:color w:val="auto"/>
        </w:rPr>
        <w:t xml:space="preserve">, which depends on an experimentally determined parameter </w:t>
      </w:r>
      <w:r w:rsidR="00BF192E" w:rsidRPr="00E878C4">
        <w:rPr>
          <w:rFonts w:asciiTheme="minorHAnsi" w:eastAsiaTheme="minorEastAsia" w:hAnsiTheme="minorHAnsi" w:cstheme="minorHAnsi"/>
          <w:i/>
          <w:iCs/>
          <w:color w:val="auto"/>
        </w:rPr>
        <w:t>y</w:t>
      </w:r>
      <w:r w:rsidR="00BF192E" w:rsidRPr="00E878C4">
        <w:rPr>
          <w:rFonts w:asciiTheme="minorHAnsi" w:eastAsiaTheme="minorEastAsia" w:hAnsiTheme="minorHAnsi" w:cstheme="minorHAnsi"/>
          <w:i/>
          <w:iCs/>
          <w:color w:val="auto"/>
          <w:vertAlign w:val="subscript"/>
        </w:rPr>
        <w:t>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150</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keV</w:t>
      </w:r>
      <w:r w:rsidR="00BF192E">
        <w:rPr>
          <w:rFonts w:asciiTheme="minorHAnsi" w:eastAsiaTheme="minorEastAsia" w:hAnsiTheme="minorHAnsi" w:cstheme="minorHAnsi"/>
          <w:color w:val="auto"/>
        </w:rPr>
        <w:t> </w:t>
      </w:r>
      <w:r w:rsidR="00BF192E" w:rsidRPr="00BF192E">
        <w:rPr>
          <w:rFonts w:asciiTheme="minorHAnsi" w:eastAsiaTheme="minorEastAsia" w:hAnsiTheme="minorHAnsi" w:cstheme="minorHAnsi"/>
          <w:color w:val="auto"/>
        </w:rPr>
        <w:t>µm</w:t>
      </w:r>
      <w:r w:rsidR="00BF192E" w:rsidRPr="00BF192E">
        <w:rPr>
          <w:rFonts w:asciiTheme="minorHAnsi" w:eastAsiaTheme="minorEastAsia" w:hAnsiTheme="minorHAnsi" w:cstheme="minorHAnsi"/>
          <w:color w:val="auto"/>
          <w:vertAlign w:val="superscript"/>
        </w:rPr>
        <w:t>−1</w:t>
      </w:r>
      <w:r w:rsidR="00BF192E">
        <w:rPr>
          <w:rFonts w:asciiTheme="minorHAnsi" w:eastAsiaTheme="minorEastAsia" w:hAnsiTheme="minorHAnsi" w:cstheme="minorHAnsi"/>
          <w:color w:val="auto"/>
        </w:rPr>
        <w:t>, is reported hereafter for completeness:</w:t>
      </w:r>
    </w:p>
    <w:p w14:paraId="1A2DC49B" w14:textId="252CB074" w:rsidR="00FD6A23" w:rsidRDefault="00BF192E" w:rsidP="00FD6A23">
      <w:pPr>
        <w:pStyle w:val="Normal1"/>
        <w:jc w:val="both"/>
        <w:rPr>
          <w:rFonts w:asciiTheme="minorHAnsi" w:eastAsiaTheme="minorEastAsia" w:hAnsiTheme="minorHAnsi" w:cstheme="minorHAnsi"/>
          <w:color w:val="auto"/>
        </w:rPr>
      </w:pPr>
      <m:oMathPara>
        <m:oMath>
          <m:r>
            <w:rPr>
              <w:rFonts w:ascii="Cambria Math" w:hAnsi="Cambria Math" w:cstheme="minorHAnsi"/>
              <w:color w:val="auto"/>
            </w:rPr>
            <m:t>w</m:t>
          </m:r>
          <m:d>
            <m:dPr>
              <m:ctrlPr>
                <w:rPr>
                  <w:rFonts w:ascii="Cambria Math" w:hAnsi="Cambria Math" w:cstheme="minorHAnsi"/>
                  <w:i/>
                  <w:iCs/>
                  <w:color w:val="auto"/>
                </w:rPr>
              </m:ctrlPr>
            </m:dPr>
            <m:e>
              <m:r>
                <w:rPr>
                  <w:rFonts w:ascii="Cambria Math" w:hAnsi="Cambria Math" w:cstheme="minorHAnsi"/>
                  <w:color w:val="auto"/>
                </w:rPr>
                <m:t>y,</m:t>
              </m:r>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e>
          </m:d>
          <m:r>
            <w:rPr>
              <w:rFonts w:ascii="Cambria Math" w:hAnsi="Cambria Math" w:cstheme="minorHAnsi"/>
              <w:color w:val="auto"/>
            </w:rPr>
            <m:t>=</m:t>
          </m:r>
          <m:f>
            <m:fPr>
              <m:ctrlPr>
                <w:rPr>
                  <w:rFonts w:ascii="Cambria Math" w:hAnsi="Cambria Math" w:cstheme="minorHAnsi"/>
                  <w:i/>
                  <w:iCs/>
                  <w:color w:val="auto"/>
                </w:rPr>
              </m:ctrlPr>
            </m:fPr>
            <m:num>
              <m:sSubSup>
                <m:sSubSupPr>
                  <m:ctrlPr>
                    <w:rPr>
                      <w:rFonts w:ascii="Cambria Math" w:hAnsi="Cambria Math" w:cstheme="minorHAnsi"/>
                      <w:i/>
                      <w:iCs/>
                      <w:color w:val="auto"/>
                    </w:rPr>
                  </m:ctrlPr>
                </m:sSubSupPr>
                <m:e>
                  <m:r>
                    <w:rPr>
                      <w:rFonts w:ascii="Cambria Math" w:hAnsi="Cambria Math" w:cstheme="minorHAnsi"/>
                      <w:color w:val="auto"/>
                    </w:rPr>
                    <m:t>y</m:t>
                  </m:r>
                </m:e>
                <m:sub>
                  <m:r>
                    <w:rPr>
                      <w:rFonts w:ascii="Cambria Math" w:hAnsi="Cambria Math" w:cstheme="minorHAnsi"/>
                      <w:color w:val="auto"/>
                    </w:rPr>
                    <m:t>0</m:t>
                  </m:r>
                </m:sub>
                <m:sup>
                  <m:r>
                    <w:rPr>
                      <w:rFonts w:ascii="Cambria Math" w:hAnsi="Cambria Math" w:cstheme="minorHAnsi"/>
                      <w:color w:val="auto"/>
                    </w:rPr>
                    <m:t>2</m:t>
                  </m:r>
                </m:sup>
              </m:sSubSup>
              <m:r>
                <w:rPr>
                  <w:rFonts w:ascii="Cambria Math" w:hAnsi="Cambria Math" w:cstheme="minorHAnsi"/>
                  <w:color w:val="auto"/>
                </w:rPr>
                <m:t>·</m:t>
              </m:r>
              <m:d>
                <m:dPr>
                  <m:begChr m:val="["/>
                  <m:endChr m:val="]"/>
                  <m:ctrlPr>
                    <w:rPr>
                      <w:rFonts w:ascii="Cambria Math" w:hAnsi="Cambria Math" w:cstheme="minorHAnsi"/>
                      <w:i/>
                      <w:iCs/>
                      <w:color w:val="auto"/>
                    </w:rPr>
                  </m:ctrlPr>
                </m:dPr>
                <m:e>
                  <m:r>
                    <w:rPr>
                      <w:rFonts w:ascii="Cambria Math" w:hAnsi="Cambria Math" w:cstheme="minorHAnsi"/>
                      <w:color w:val="auto"/>
                    </w:rPr>
                    <m:t>1-</m:t>
                  </m:r>
                  <m:sSup>
                    <m:sSupPr>
                      <m:ctrlPr>
                        <w:rPr>
                          <w:rFonts w:ascii="Cambria Math" w:hAnsi="Cambria Math" w:cstheme="minorHAnsi"/>
                          <w:i/>
                          <w:iCs/>
                          <w:color w:val="auto"/>
                        </w:rPr>
                      </m:ctrlPr>
                    </m:sSupPr>
                    <m:e>
                      <m:r>
                        <w:rPr>
                          <w:rFonts w:ascii="Cambria Math" w:hAnsi="Cambria Math" w:cstheme="minorHAnsi"/>
                          <w:color w:val="auto"/>
                        </w:rPr>
                        <m:t>e</m:t>
                      </m:r>
                    </m:e>
                    <m:sup>
                      <m:r>
                        <w:rPr>
                          <w:rFonts w:ascii="Cambria Math" w:hAnsi="Cambria Math" w:cstheme="minorHAnsi"/>
                          <w:color w:val="auto"/>
                        </w:rPr>
                        <m:t>-</m:t>
                      </m:r>
                      <m:sSup>
                        <m:sSupPr>
                          <m:ctrlPr>
                            <w:rPr>
                              <w:rFonts w:ascii="Cambria Math" w:hAnsi="Cambria Math" w:cstheme="minorHAnsi"/>
                              <w:i/>
                              <w:iCs/>
                              <w:color w:val="auto"/>
                            </w:rPr>
                          </m:ctrlPr>
                        </m:sSupPr>
                        <m:e>
                          <m:d>
                            <m:dPr>
                              <m:ctrlPr>
                                <w:rPr>
                                  <w:rFonts w:ascii="Cambria Math" w:hAnsi="Cambria Math" w:cstheme="minorHAnsi"/>
                                  <w:i/>
                                  <w:iCs/>
                                  <w:color w:val="auto"/>
                                </w:rPr>
                              </m:ctrlPr>
                            </m:dPr>
                            <m:e>
                              <m:f>
                                <m:fPr>
                                  <m:ctrlPr>
                                    <w:rPr>
                                      <w:rFonts w:ascii="Cambria Math" w:hAnsi="Cambria Math" w:cstheme="minorHAnsi"/>
                                      <w:i/>
                                      <w:iCs/>
                                      <w:color w:val="auto"/>
                                    </w:rPr>
                                  </m:ctrlPr>
                                </m:fPr>
                                <m:num>
                                  <m:r>
                                    <w:rPr>
                                      <w:rFonts w:ascii="Cambria Math" w:hAnsi="Cambria Math" w:cstheme="minorHAnsi"/>
                                      <w:color w:val="auto"/>
                                    </w:rPr>
                                    <m:t>y</m:t>
                                  </m:r>
                                </m:num>
                                <m:den>
                                  <m:sSub>
                                    <m:sSubPr>
                                      <m:ctrlPr>
                                        <w:rPr>
                                          <w:rFonts w:ascii="Cambria Math" w:hAnsi="Cambria Math" w:cstheme="minorHAnsi"/>
                                          <w:i/>
                                          <w:iCs/>
                                          <w:color w:val="auto"/>
                                        </w:rPr>
                                      </m:ctrlPr>
                                    </m:sSubPr>
                                    <m:e>
                                      <m:r>
                                        <w:rPr>
                                          <w:rFonts w:ascii="Cambria Math" w:hAnsi="Cambria Math" w:cstheme="minorHAnsi"/>
                                          <w:color w:val="auto"/>
                                        </w:rPr>
                                        <m:t>y</m:t>
                                      </m:r>
                                    </m:e>
                                    <m:sub>
                                      <m:r>
                                        <w:rPr>
                                          <w:rFonts w:ascii="Cambria Math" w:hAnsi="Cambria Math" w:cstheme="minorHAnsi"/>
                                          <w:color w:val="auto"/>
                                        </w:rPr>
                                        <m:t>0</m:t>
                                      </m:r>
                                    </m:sub>
                                  </m:sSub>
                                </m:den>
                              </m:f>
                            </m:e>
                          </m:d>
                        </m:e>
                        <m:sup>
                          <m:r>
                            <w:rPr>
                              <w:rFonts w:ascii="Cambria Math" w:hAnsi="Cambria Math" w:cstheme="minorHAnsi"/>
                              <w:color w:val="auto"/>
                            </w:rPr>
                            <m:t>2</m:t>
                          </m:r>
                        </m:sup>
                      </m:sSup>
                    </m:sup>
                  </m:sSup>
                </m:e>
              </m:d>
              <m:r>
                <w:rPr>
                  <w:rFonts w:ascii="Cambria Math" w:hAnsi="Cambria Math" w:cstheme="minorHAnsi"/>
                  <w:color w:val="auto"/>
                </w:rPr>
                <m:t>y</m:t>
              </m:r>
            </m:num>
            <m:den>
              <m:nary>
                <m:naryPr>
                  <m:ctrlPr>
                    <w:rPr>
                      <w:rFonts w:ascii="Cambria Math" w:hAnsi="Cambria Math" w:cstheme="minorHAnsi"/>
                      <w:i/>
                      <w:iCs/>
                    </w:rPr>
                  </m:ctrlPr>
                </m:naryPr>
                <m:sub>
                  <m:r>
                    <w:rPr>
                      <w:rFonts w:ascii="Cambria Math" w:hAnsi="Cambria Math" w:cstheme="minorHAnsi"/>
                    </w:rPr>
                    <m:t>0</m:t>
                  </m:r>
                </m:sub>
                <m:sup>
                  <m:r>
                    <w:rPr>
                      <w:rFonts w:ascii="Cambria Math" w:hAnsi="Cambria Math" w:cstheme="minorHAnsi"/>
                    </w:rPr>
                    <m:t>∞</m:t>
                  </m:r>
                </m:sup>
                <m:e>
                  <m:r>
                    <w:rPr>
                      <w:rFonts w:ascii="Cambria Math" w:hAnsi="Cambria Math" w:cstheme="minorHAnsi"/>
                    </w:rPr>
                    <m:t>y·f</m:t>
                  </m:r>
                  <m:d>
                    <m:dPr>
                      <m:ctrlPr>
                        <w:rPr>
                          <w:rFonts w:ascii="Cambria Math" w:hAnsi="Cambria Math" w:cstheme="minorHAnsi"/>
                          <w:i/>
                          <w:iCs/>
                        </w:rPr>
                      </m:ctrlPr>
                    </m:dPr>
                    <m:e>
                      <m:r>
                        <w:rPr>
                          <w:rFonts w:ascii="Cambria Math" w:hAnsi="Cambria Math" w:cstheme="minorHAnsi"/>
                        </w:rPr>
                        <m:t>y</m:t>
                      </m:r>
                    </m:e>
                  </m:d>
                  <m:r>
                    <w:rPr>
                      <w:rFonts w:ascii="Cambria Math" w:hAnsi="Cambria Math" w:cstheme="minorHAnsi"/>
                    </w:rPr>
                    <m:t>ⅆy</m:t>
                  </m:r>
                </m:e>
              </m:nary>
            </m:den>
          </m:f>
          <m:r>
            <w:rPr>
              <w:rFonts w:ascii="Cambria Math" w:hAnsi="Cambria Math" w:cstheme="minorHAnsi"/>
              <w:color w:val="auto"/>
            </w:rPr>
            <m:t xml:space="preserve"> </m:t>
          </m:r>
          <m:r>
            <m:rPr>
              <m:sty m:val="p"/>
            </m:rPr>
            <w:rPr>
              <w:rFonts w:ascii="Cambria Math" w:hAnsi="Cambria Math" w:cstheme="minorHAnsi"/>
              <w:color w:val="auto"/>
            </w:rPr>
            <m:t xml:space="preserve">. </m:t>
          </m:r>
        </m:oMath>
      </m:oMathPara>
    </w:p>
    <w:p w14:paraId="51A78AE0" w14:textId="65DCFFFD" w:rsidR="002D24FA" w:rsidRPr="00DA6B33" w:rsidRDefault="0086552B" w:rsidP="002D24FA">
      <w:pPr>
        <w:pStyle w:val="Normal1"/>
        <w:jc w:val="both"/>
        <w:rPr>
          <w:rFonts w:asciiTheme="minorHAnsi" w:hAnsiTheme="minorHAnsi" w:cstheme="minorHAnsi"/>
          <w:color w:val="auto"/>
        </w:rPr>
      </w:pPr>
      <w:r>
        <w:rPr>
          <w:rFonts w:asciiTheme="minorHAnsi" w:eastAsiaTheme="minorEastAsia" w:hAnsiTheme="minorHAnsi" w:cstheme="minorHAnsi"/>
          <w:color w:val="auto"/>
        </w:rPr>
        <w:t xml:space="preserve">Without going in </w:t>
      </w:r>
      <w:r w:rsidR="00FD05E5">
        <w:rPr>
          <w:rFonts w:asciiTheme="minorHAnsi" w:eastAsiaTheme="minorEastAsia" w:hAnsiTheme="minorHAnsi" w:cstheme="minorHAnsi"/>
          <w:color w:val="auto"/>
        </w:rPr>
        <w:t>a thorough analysis</w:t>
      </w:r>
      <w:r>
        <w:rPr>
          <w:rFonts w:asciiTheme="minorHAnsi" w:eastAsiaTheme="minorEastAsia" w:hAnsiTheme="minorHAnsi" w:cstheme="minorHAnsi"/>
          <w:color w:val="auto"/>
        </w:rPr>
        <w:t xml:space="preserve">, the effect of the integral and the weighting function is to decrease the relevance of small variation on the spectra as those related to the FWHM shown in figure </w:t>
      </w:r>
      <w:r w:rsidR="00CF1566">
        <w:rPr>
          <w:rFonts w:asciiTheme="minorHAnsi" w:eastAsiaTheme="minorEastAsia" w:hAnsiTheme="minorHAnsi" w:cstheme="minorHAnsi"/>
          <w:color w:val="auto"/>
        </w:rPr>
        <w:t>2</w:t>
      </w:r>
      <w:r>
        <w:rPr>
          <w:rFonts w:asciiTheme="minorHAnsi" w:eastAsiaTheme="minorEastAsia" w:hAnsiTheme="minorHAnsi" w:cstheme="minorHAnsi"/>
          <w:color w:val="auto"/>
        </w:rPr>
        <w:t>. Therefore, i</w:t>
      </w:r>
      <w:r w:rsidR="00E8794A" w:rsidRPr="00DA6B33">
        <w:rPr>
          <w:rFonts w:asciiTheme="minorHAnsi" w:hAnsiTheme="minorHAnsi" w:cstheme="minorHAnsi"/>
          <w:color w:val="auto"/>
        </w:rPr>
        <w:t xml:space="preserve">t can be stated </w:t>
      </w:r>
      <w:r>
        <w:rPr>
          <w:rFonts w:asciiTheme="minorHAnsi" w:hAnsiTheme="minorHAnsi" w:cstheme="minorHAnsi"/>
          <w:color w:val="auto"/>
        </w:rPr>
        <w:t xml:space="preserve">(and it is not difficult to prove with numerical examples) </w:t>
      </w:r>
      <w:r w:rsidR="00E8794A" w:rsidRPr="00DA6B33">
        <w:rPr>
          <w:rFonts w:asciiTheme="minorHAnsi" w:hAnsiTheme="minorHAnsi" w:cstheme="minorHAnsi"/>
          <w:color w:val="auto"/>
        </w:rPr>
        <w:t xml:space="preserve">that the presence of </w:t>
      </w:r>
      <w:r w:rsidR="00FD05E5">
        <w:rPr>
          <w:rFonts w:asciiTheme="minorHAnsi" w:hAnsiTheme="minorHAnsi" w:cstheme="minorHAnsi"/>
          <w:color w:val="auto"/>
        </w:rPr>
        <w:t>sequences</w:t>
      </w:r>
      <w:r w:rsidR="00FD05E5" w:rsidRPr="00DA6B33">
        <w:rPr>
          <w:rFonts w:asciiTheme="minorHAnsi" w:hAnsiTheme="minorHAnsi" w:cstheme="minorHAnsi"/>
          <w:color w:val="auto"/>
        </w:rPr>
        <w:t xml:space="preserve"> </w:t>
      </w:r>
      <w:r w:rsidR="00E8794A" w:rsidRPr="00DA6B33">
        <w:rPr>
          <w:rFonts w:asciiTheme="minorHAnsi" w:hAnsiTheme="minorHAnsi" w:cstheme="minorHAnsi"/>
          <w:color w:val="auto"/>
        </w:rPr>
        <w:t xml:space="preserve">quasi-Gaussian distributions, as opposed to </w:t>
      </w:r>
      <w:r>
        <w:rPr>
          <w:rFonts w:asciiTheme="minorHAnsi" w:hAnsiTheme="minorHAnsi" w:cstheme="minorHAnsi"/>
          <w:color w:val="auto"/>
        </w:rPr>
        <w:t xml:space="preserve">discrete values of </w:t>
      </w:r>
      <w:r w:rsidR="00C97641">
        <w:rPr>
          <w:rFonts w:asciiTheme="minorHAnsi" w:hAnsiTheme="minorHAnsi" w:cstheme="minorHAnsi"/>
          <w:color w:val="auto"/>
        </w:rPr>
        <w:t>energy imparted per unit of length</w:t>
      </w:r>
      <w:r w:rsidR="00E8794A" w:rsidRPr="00DA6B33">
        <w:rPr>
          <w:rFonts w:asciiTheme="minorHAnsi" w:hAnsiTheme="minorHAnsi" w:cstheme="minorHAnsi"/>
          <w:color w:val="auto"/>
        </w:rPr>
        <w:t xml:space="preserve">, has a marginal impact on the resulting value of </w:t>
      </w:r>
      <w:r w:rsidR="00E8794A" w:rsidRPr="00E878C4">
        <w:rPr>
          <w:rFonts w:asciiTheme="minorHAnsi" w:hAnsiTheme="minorHAnsi" w:cstheme="minorHAnsi"/>
          <w:i/>
          <w:iCs/>
          <w:color w:val="auto"/>
        </w:rPr>
        <w:t>y*</w:t>
      </w:r>
      <w:r w:rsidR="00E8794A">
        <w:rPr>
          <w:rFonts w:asciiTheme="minorHAnsi" w:hAnsiTheme="minorHAnsi" w:cstheme="minorHAnsi"/>
          <w:color w:val="auto"/>
        </w:rPr>
        <w:t xml:space="preserve">. This </w:t>
      </w:r>
      <w:r>
        <w:rPr>
          <w:rFonts w:asciiTheme="minorHAnsi" w:hAnsiTheme="minorHAnsi" w:cstheme="minorHAnsi"/>
          <w:color w:val="auto"/>
        </w:rPr>
        <w:t xml:space="preserve">assumption </w:t>
      </w:r>
      <w:r w:rsidR="00C97641">
        <w:rPr>
          <w:rFonts w:asciiTheme="minorHAnsi" w:hAnsiTheme="minorHAnsi" w:cstheme="minorHAnsi"/>
          <w:color w:val="auto"/>
        </w:rPr>
        <w:t xml:space="preserve">is particularly </w:t>
      </w:r>
      <w:r>
        <w:rPr>
          <w:rFonts w:asciiTheme="minorHAnsi" w:hAnsiTheme="minorHAnsi" w:cstheme="minorHAnsi"/>
          <w:color w:val="auto"/>
        </w:rPr>
        <w:t xml:space="preserve">important </w:t>
      </w:r>
      <w:r w:rsidR="00C97641">
        <w:rPr>
          <w:rFonts w:asciiTheme="minorHAnsi" w:hAnsiTheme="minorHAnsi" w:cstheme="minorHAnsi"/>
          <w:color w:val="auto"/>
        </w:rPr>
        <w:t xml:space="preserve">in </w:t>
      </w:r>
      <w:r>
        <w:rPr>
          <w:rFonts w:asciiTheme="minorHAnsi" w:hAnsiTheme="minorHAnsi" w:cstheme="minorHAnsi"/>
          <w:color w:val="auto"/>
        </w:rPr>
        <w:t>clinical use</w:t>
      </w:r>
      <w:r w:rsidR="00FD05E5">
        <w:rPr>
          <w:rFonts w:asciiTheme="minorHAnsi" w:hAnsiTheme="minorHAnsi" w:cstheme="minorHAnsi"/>
          <w:color w:val="auto"/>
        </w:rPr>
        <w:t>s</w:t>
      </w:r>
      <w:r>
        <w:rPr>
          <w:rFonts w:asciiTheme="minorHAnsi" w:hAnsiTheme="minorHAnsi" w:cstheme="minorHAnsi"/>
          <w:color w:val="auto"/>
        </w:rPr>
        <w:t xml:space="preserve"> where the ir</w:t>
      </w:r>
      <w:r w:rsidR="00C97641">
        <w:rPr>
          <w:rFonts w:asciiTheme="minorHAnsi" w:hAnsiTheme="minorHAnsi" w:cstheme="minorHAnsi"/>
          <w:color w:val="auto"/>
        </w:rPr>
        <w:t xml:space="preserve">radiation </w:t>
      </w:r>
      <w:r>
        <w:rPr>
          <w:rFonts w:asciiTheme="minorHAnsi" w:hAnsiTheme="minorHAnsi" w:cstheme="minorHAnsi"/>
          <w:color w:val="auto"/>
        </w:rPr>
        <w:t xml:space="preserve">with </w:t>
      </w:r>
      <w:r w:rsidR="00C97641">
        <w:rPr>
          <w:rFonts w:asciiTheme="minorHAnsi" w:hAnsiTheme="minorHAnsi" w:cstheme="minorHAnsi"/>
          <w:color w:val="auto"/>
        </w:rPr>
        <w:t xml:space="preserve">multiple beam energies concur in the same </w:t>
      </w:r>
      <w:r>
        <w:rPr>
          <w:rFonts w:asciiTheme="minorHAnsi" w:hAnsiTheme="minorHAnsi" w:cstheme="minorHAnsi"/>
          <w:color w:val="auto"/>
        </w:rPr>
        <w:t xml:space="preserve">tumor </w:t>
      </w:r>
      <w:r w:rsidR="00C97641">
        <w:rPr>
          <w:rFonts w:asciiTheme="minorHAnsi" w:hAnsiTheme="minorHAnsi" w:cstheme="minorHAnsi"/>
          <w:color w:val="auto"/>
        </w:rPr>
        <w:t>target. In other terms, the stochasticity has little or no effects on the final biological effectiveness</w:t>
      </w:r>
      <w:r>
        <w:rPr>
          <w:rFonts w:asciiTheme="minorHAnsi" w:hAnsiTheme="minorHAnsi" w:cstheme="minorHAnsi"/>
          <w:color w:val="auto"/>
        </w:rPr>
        <w:t xml:space="preserve"> determined by </w:t>
      </w:r>
      <w:r w:rsidR="00C97641">
        <w:rPr>
          <w:rFonts w:asciiTheme="minorHAnsi" w:hAnsiTheme="minorHAnsi" w:cstheme="minorHAnsi"/>
          <w:color w:val="auto"/>
        </w:rPr>
        <w:t xml:space="preserve">the MKM. </w:t>
      </w:r>
    </w:p>
    <w:p w14:paraId="5FC95C43" w14:textId="5E919039" w:rsidR="006E0451" w:rsidRDefault="002D24FA" w:rsidP="00A4509D">
      <w:pPr>
        <w:pStyle w:val="Normal1"/>
        <w:jc w:val="both"/>
        <w:rPr>
          <w:rFonts w:asciiTheme="minorHAnsi" w:hAnsiTheme="minorHAnsi" w:cstheme="minorHAnsi"/>
          <w:color w:val="auto"/>
        </w:rPr>
      </w:pPr>
      <w:r w:rsidRPr="00DA6B33">
        <w:rPr>
          <w:rFonts w:asciiTheme="minorHAnsi" w:hAnsiTheme="minorHAnsi" w:cstheme="minorHAnsi"/>
          <w:color w:val="auto"/>
        </w:rPr>
        <w:t>Microdosimetric spectra have also been employed to derive RBE values through the application of</w:t>
      </w:r>
      <w:r w:rsidRPr="006F598E">
        <w:t xml:space="preserve"> </w:t>
      </w:r>
      <w:r w:rsidRPr="006F598E">
        <w:rPr>
          <w:rFonts w:asciiTheme="minorHAnsi" w:hAnsiTheme="minorHAnsi" w:cstheme="minorHAnsi"/>
          <w:color w:val="auto"/>
        </w:rPr>
        <w:t>biological weighting function</w:t>
      </w:r>
      <w:r w:rsidRPr="00DA6B33">
        <w:rPr>
          <w:rFonts w:asciiTheme="minorHAnsi" w:hAnsiTheme="minorHAnsi" w:cstheme="minorHAnsi"/>
          <w:color w:val="auto"/>
        </w:rPr>
        <w:t xml:space="preserve"> [Loncol</w:t>
      </w:r>
      <w:r>
        <w:rPr>
          <w:rFonts w:asciiTheme="minorHAnsi" w:hAnsiTheme="minorHAnsi" w:cstheme="minorHAnsi"/>
          <w:color w:val="auto"/>
        </w:rPr>
        <w:t xml:space="preserve"> 1994</w:t>
      </w:r>
      <w:r w:rsidRPr="00DA6B33">
        <w:rPr>
          <w:rFonts w:asciiTheme="minorHAnsi" w:hAnsiTheme="minorHAnsi" w:cstheme="minorHAnsi"/>
          <w:color w:val="auto"/>
        </w:rPr>
        <w:t xml:space="preserve">, </w:t>
      </w:r>
      <w:r w:rsidR="00090E75">
        <w:rPr>
          <w:rFonts w:asciiTheme="minorHAnsi" w:hAnsiTheme="minorHAnsi" w:cstheme="minorHAnsi"/>
          <w:color w:val="auto"/>
        </w:rPr>
        <w:t>A.</w:t>
      </w:r>
      <w:r w:rsidRPr="00DA6B33">
        <w:rPr>
          <w:rFonts w:asciiTheme="minorHAnsi" w:hAnsiTheme="minorHAnsi" w:cstheme="minorHAnsi"/>
          <w:color w:val="auto"/>
        </w:rPr>
        <w:t>Parisi</w:t>
      </w:r>
      <w:r w:rsidR="00877E9A">
        <w:rPr>
          <w:rFonts w:asciiTheme="minorHAnsi" w:hAnsiTheme="minorHAnsi" w:cstheme="minorHAnsi"/>
          <w:color w:val="auto"/>
        </w:rPr>
        <w:t xml:space="preserve"> </w:t>
      </w:r>
      <w:r>
        <w:rPr>
          <w:rFonts w:asciiTheme="minorHAnsi" w:hAnsiTheme="minorHAnsi" w:cstheme="minorHAnsi"/>
          <w:color w:val="auto"/>
        </w:rPr>
        <w:t>20</w:t>
      </w:r>
      <w:r w:rsidR="00412F4B">
        <w:rPr>
          <w:rFonts w:asciiTheme="minorHAnsi" w:hAnsiTheme="minorHAnsi" w:cstheme="minorHAnsi"/>
          <w:color w:val="auto"/>
        </w:rPr>
        <w:t>20</w:t>
      </w:r>
      <w:r w:rsidRPr="00DA6B33">
        <w:rPr>
          <w:rFonts w:asciiTheme="minorHAnsi" w:hAnsiTheme="minorHAnsi" w:cstheme="minorHAnsi"/>
          <w:color w:val="auto"/>
        </w:rPr>
        <w:t xml:space="preserve">]. These functions, referred to as biological </w:t>
      </w:r>
      <w:r w:rsidR="00346224">
        <w:rPr>
          <w:rFonts w:asciiTheme="minorHAnsi" w:hAnsiTheme="minorHAnsi" w:cstheme="minorHAnsi"/>
          <w:color w:val="auto"/>
        </w:rPr>
        <w:t xml:space="preserve">weighting </w:t>
      </w:r>
      <w:r w:rsidRPr="00DA6B33">
        <w:rPr>
          <w:rFonts w:asciiTheme="minorHAnsi" w:hAnsiTheme="minorHAnsi" w:cstheme="minorHAnsi"/>
          <w:color w:val="auto"/>
        </w:rPr>
        <w:t xml:space="preserve">functions, are purely </w:t>
      </w:r>
      <w:r w:rsidR="00E878C4">
        <w:rPr>
          <w:rFonts w:asciiTheme="minorHAnsi" w:hAnsiTheme="minorHAnsi" w:cstheme="minorHAnsi"/>
          <w:color w:val="auto"/>
        </w:rPr>
        <w:t>empirical</w:t>
      </w:r>
      <w:r w:rsidRPr="00DA6B33">
        <w:rPr>
          <w:rFonts w:asciiTheme="minorHAnsi" w:hAnsiTheme="minorHAnsi" w:cstheme="minorHAnsi"/>
          <w:color w:val="auto"/>
        </w:rPr>
        <w:t xml:space="preserve"> and are obtained by unfolding combinations of radiobiological and </w:t>
      </w:r>
      <w:r w:rsidR="006E0451">
        <w:rPr>
          <w:rFonts w:asciiTheme="minorHAnsi" w:hAnsiTheme="minorHAnsi" w:cstheme="minorHAnsi"/>
          <w:color w:val="auto"/>
        </w:rPr>
        <w:t xml:space="preserve">microdosimetric </w:t>
      </w:r>
      <w:r w:rsidRPr="00DA6B33">
        <w:rPr>
          <w:rFonts w:asciiTheme="minorHAnsi" w:hAnsiTheme="minorHAnsi" w:cstheme="minorHAnsi"/>
          <w:color w:val="auto"/>
        </w:rPr>
        <w:t>experimental data</w:t>
      </w:r>
      <w:r w:rsidR="006E0451">
        <w:rPr>
          <w:rFonts w:asciiTheme="minorHAnsi" w:hAnsiTheme="minorHAnsi" w:cstheme="minorHAnsi"/>
          <w:color w:val="auto"/>
        </w:rPr>
        <w:t xml:space="preserve"> for </w:t>
      </w:r>
      <w:r w:rsidR="00665833">
        <w:rPr>
          <w:rFonts w:asciiTheme="minorHAnsi" w:hAnsiTheme="minorHAnsi" w:cstheme="minorHAnsi"/>
          <w:color w:val="auto"/>
        </w:rPr>
        <w:t>a</w:t>
      </w:r>
      <w:r w:rsidR="006E0451">
        <w:rPr>
          <w:rFonts w:asciiTheme="minorHAnsi" w:hAnsiTheme="minorHAnsi" w:cstheme="minorHAnsi"/>
          <w:color w:val="auto"/>
        </w:rPr>
        <w:t xml:space="preserve"> </w:t>
      </w:r>
      <w:r w:rsidR="00665833">
        <w:rPr>
          <w:rFonts w:asciiTheme="minorHAnsi" w:hAnsiTheme="minorHAnsi" w:cstheme="minorHAnsi"/>
          <w:color w:val="auto"/>
        </w:rPr>
        <w:t xml:space="preserve">large variety of particle types and energies </w:t>
      </w:r>
      <w:r w:rsidR="004B201E">
        <w:rPr>
          <w:rFonts w:asciiTheme="minorHAnsi" w:hAnsiTheme="minorHAnsi" w:cstheme="minorHAnsi"/>
          <w:color w:val="auto"/>
        </w:rPr>
        <w:t>values</w:t>
      </w:r>
      <w:r w:rsidRPr="00DA6B33">
        <w:rPr>
          <w:rFonts w:asciiTheme="minorHAnsi" w:hAnsiTheme="minorHAnsi" w:cstheme="minorHAnsi"/>
          <w:color w:val="auto"/>
        </w:rPr>
        <w:t xml:space="preserve">. </w:t>
      </w:r>
    </w:p>
    <w:p w14:paraId="6B12D7A9" w14:textId="4B261F93"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Detectors of different in sensitive-volume size and shape produce large discrepancies in microdosimetric spectra. However, the calibration procedures assure that</w:t>
      </w:r>
      <w:r w:rsidRPr="00E530DB">
        <w:rPr>
          <w:rFonts w:asciiTheme="minorHAnsi" w:hAnsiTheme="minorHAnsi" w:cstheme="minorHAnsi"/>
          <w:color w:val="auto"/>
        </w:rPr>
        <w:t xml:space="preserve"> </w:t>
      </w:r>
      <w:r>
        <w:rPr>
          <w:rFonts w:asciiTheme="minorHAnsi" w:hAnsiTheme="minorHAnsi" w:cstheme="minorHAnsi"/>
          <w:color w:val="auto"/>
        </w:rPr>
        <w:t xml:space="preserve">the frequency mean values coincide, independently from the geometrical differences. </w:t>
      </w:r>
    </w:p>
    <w:p w14:paraId="2BED8303" w14:textId="49756CB5" w:rsidR="00665833" w:rsidRDefault="00665833" w:rsidP="00665833">
      <w:pPr>
        <w:pStyle w:val="Normal1"/>
        <w:jc w:val="both"/>
        <w:rPr>
          <w:rFonts w:asciiTheme="minorHAnsi" w:hAnsiTheme="minorHAnsi" w:cstheme="minorHAnsi"/>
          <w:color w:val="auto"/>
        </w:rPr>
      </w:pPr>
      <w:r>
        <w:rPr>
          <w:rFonts w:asciiTheme="minorHAnsi" w:hAnsiTheme="minorHAnsi" w:cstheme="minorHAnsi"/>
          <w:color w:val="auto"/>
        </w:rPr>
        <w:t xml:space="preserve">The biological predictions obtained with the use of the weighting functions for monoenergetic beams </w:t>
      </w:r>
      <w:r w:rsidR="00BF4F8B">
        <w:rPr>
          <w:rFonts w:asciiTheme="minorHAnsi" w:hAnsiTheme="minorHAnsi" w:cstheme="minorHAnsi"/>
          <w:color w:val="auto"/>
        </w:rPr>
        <w:t>does not show deviations arising from the use of different detectors [</w:t>
      </w:r>
      <w:r w:rsidR="00090E75">
        <w:rPr>
          <w:rFonts w:asciiTheme="minorHAnsi" w:hAnsiTheme="minorHAnsi" w:cstheme="minorHAnsi"/>
          <w:color w:val="auto"/>
        </w:rPr>
        <w:t>A.</w:t>
      </w:r>
      <w:r w:rsidR="00BF4F8B">
        <w:rPr>
          <w:rFonts w:asciiTheme="minorHAnsi" w:hAnsiTheme="minorHAnsi" w:cstheme="minorHAnsi"/>
          <w:color w:val="auto"/>
        </w:rPr>
        <w:t xml:space="preserve">Parisi 2020]. This </w:t>
      </w:r>
      <w:r w:rsidR="00585D21">
        <w:rPr>
          <w:rFonts w:asciiTheme="minorHAnsi" w:hAnsiTheme="minorHAnsi" w:cstheme="minorHAnsi"/>
          <w:color w:val="auto"/>
        </w:rPr>
        <w:t xml:space="preserve">can be seen as the </w:t>
      </w:r>
      <w:r w:rsidR="00C97641">
        <w:rPr>
          <w:rFonts w:asciiTheme="minorHAnsi" w:hAnsiTheme="minorHAnsi" w:cstheme="minorHAnsi"/>
          <w:color w:val="auto"/>
        </w:rPr>
        <w:t>implicit</w:t>
      </w:r>
      <w:r w:rsidR="00BF4F8B">
        <w:rPr>
          <w:rFonts w:asciiTheme="minorHAnsi" w:hAnsiTheme="minorHAnsi" w:cstheme="minorHAnsi"/>
          <w:color w:val="auto"/>
        </w:rPr>
        <w:t xml:space="preserve"> indication that, </w:t>
      </w:r>
      <w:r w:rsidR="00585D21">
        <w:rPr>
          <w:rFonts w:asciiTheme="minorHAnsi" w:hAnsiTheme="minorHAnsi" w:cstheme="minorHAnsi"/>
          <w:color w:val="auto"/>
        </w:rPr>
        <w:t xml:space="preserve">in </w:t>
      </w:r>
      <w:r w:rsidR="00BF4F8B">
        <w:rPr>
          <w:rFonts w:asciiTheme="minorHAnsi" w:hAnsiTheme="minorHAnsi" w:cstheme="minorHAnsi"/>
          <w:color w:val="auto"/>
        </w:rPr>
        <w:t xml:space="preserve">monoenergetic beams, the </w:t>
      </w:r>
      <w:r w:rsidRPr="00DA6B33">
        <w:rPr>
          <w:rFonts w:asciiTheme="minorHAnsi" w:hAnsiTheme="minorHAnsi" w:cstheme="minorHAnsi"/>
          <w:color w:val="auto"/>
        </w:rPr>
        <w:t>mean value</w:t>
      </w:r>
      <w:r w:rsidR="00585D21">
        <w:rPr>
          <w:rFonts w:asciiTheme="minorHAnsi" w:hAnsiTheme="minorHAnsi" w:cstheme="minorHAnsi"/>
          <w:color w:val="auto"/>
        </w:rPr>
        <w:t>s</w:t>
      </w:r>
      <w:r w:rsidRPr="00DA6B33">
        <w:rPr>
          <w:rFonts w:asciiTheme="minorHAnsi" w:hAnsiTheme="minorHAnsi" w:cstheme="minorHAnsi"/>
          <w:color w:val="auto"/>
        </w:rPr>
        <w:t xml:space="preserve"> of the lineal energy </w:t>
      </w:r>
      <w:r w:rsidR="00585D21">
        <w:rPr>
          <w:rFonts w:asciiTheme="minorHAnsi" w:hAnsiTheme="minorHAnsi" w:cstheme="minorHAnsi"/>
          <w:color w:val="auto"/>
        </w:rPr>
        <w:t>are sufficient to answer for the simple biological response</w:t>
      </w:r>
      <w:r w:rsidRPr="00DA6B33">
        <w:rPr>
          <w:rFonts w:asciiTheme="minorHAnsi" w:hAnsiTheme="minorHAnsi" w:cstheme="minorHAnsi"/>
          <w:color w:val="auto"/>
        </w:rPr>
        <w:t>.</w:t>
      </w:r>
      <w:r>
        <w:rPr>
          <w:rFonts w:asciiTheme="minorHAnsi" w:hAnsiTheme="minorHAnsi" w:cstheme="minorHAnsi"/>
          <w:color w:val="auto"/>
        </w:rPr>
        <w:t xml:space="preserve"> </w:t>
      </w:r>
    </w:p>
    <w:p w14:paraId="2488CE67" w14:textId="777AAFA5" w:rsidR="002D24FA" w:rsidRDefault="002D24FA" w:rsidP="00AF6983">
      <w:pPr>
        <w:pStyle w:val="Normal1"/>
        <w:jc w:val="both"/>
        <w:rPr>
          <w:rFonts w:asciiTheme="minorHAnsi" w:hAnsiTheme="minorHAnsi" w:cstheme="minorHAnsi"/>
          <w:color w:val="auto"/>
        </w:rPr>
      </w:pPr>
      <w:r w:rsidRPr="00DA6B33">
        <w:rPr>
          <w:rFonts w:asciiTheme="minorHAnsi" w:hAnsiTheme="minorHAnsi" w:cstheme="minorHAnsi"/>
          <w:color w:val="auto"/>
        </w:rPr>
        <w:t xml:space="preserve">Finally, in recent years, </w:t>
      </w:r>
      <w:r w:rsidR="00AF6983" w:rsidRPr="00E878C4">
        <w:rPr>
          <w:rFonts w:asciiTheme="minorHAnsi" w:hAnsiTheme="minorHAnsi" w:cstheme="minorHAnsi"/>
          <w:color w:val="auto"/>
        </w:rPr>
        <w:t xml:space="preserve">clinical evidence has increasingly shown that a higher LETd across the entire target volume correlates with improved tumor control </w:t>
      </w:r>
      <w:r w:rsidR="00DA3298">
        <w:rPr>
          <w:rFonts w:asciiTheme="minorHAnsi" w:hAnsiTheme="minorHAnsi" w:cstheme="minorHAnsi"/>
          <w:color w:val="auto"/>
        </w:rPr>
        <w:t>[</w:t>
      </w:r>
      <w:r w:rsidR="00585D21" w:rsidRPr="00585D21">
        <w:rPr>
          <w:rFonts w:asciiTheme="minorHAnsi" w:hAnsiTheme="minorHAnsi" w:cstheme="minorHAnsi"/>
          <w:color w:val="auto"/>
        </w:rPr>
        <w:t>Hagiwara</w:t>
      </w:r>
      <w:r w:rsidR="00DA3298">
        <w:rPr>
          <w:rFonts w:asciiTheme="minorHAnsi" w:hAnsiTheme="minorHAnsi" w:cstheme="minorHAnsi"/>
          <w:color w:val="auto"/>
        </w:rPr>
        <w:t xml:space="preserve"> 2019</w:t>
      </w:r>
      <w:r w:rsidR="000544EC">
        <w:rPr>
          <w:rFonts w:asciiTheme="minorHAnsi" w:hAnsiTheme="minorHAnsi" w:cstheme="minorHAnsi"/>
          <w:color w:val="auto"/>
        </w:rPr>
        <w:t xml:space="preserve">; </w:t>
      </w:r>
      <w:r w:rsidR="00DA3298" w:rsidRPr="00585D21">
        <w:rPr>
          <w:rFonts w:asciiTheme="minorHAnsi" w:hAnsiTheme="minorHAnsi" w:cstheme="minorHAnsi"/>
          <w:color w:val="auto"/>
        </w:rPr>
        <w:t>Matsumoto</w:t>
      </w:r>
      <w:r w:rsidR="000544EC">
        <w:rPr>
          <w:rFonts w:asciiTheme="minorHAnsi" w:hAnsiTheme="minorHAnsi" w:cstheme="minorHAnsi"/>
          <w:color w:val="auto"/>
        </w:rPr>
        <w:t xml:space="preserve"> 2020;</w:t>
      </w:r>
      <w:r w:rsidR="00DA3298" w:rsidRPr="00585D21">
        <w:rPr>
          <w:rFonts w:asciiTheme="minorHAnsi" w:hAnsiTheme="minorHAnsi" w:cstheme="minorHAnsi"/>
          <w:color w:val="auto"/>
        </w:rPr>
        <w:t xml:space="preserve"> </w:t>
      </w:r>
      <w:r w:rsidR="00DA3298" w:rsidRPr="00DA3298">
        <w:rPr>
          <w:rFonts w:asciiTheme="minorHAnsi" w:hAnsiTheme="minorHAnsi" w:cstheme="minorHAnsi"/>
          <w:color w:val="auto"/>
        </w:rPr>
        <w:t xml:space="preserve">Molinelli </w:t>
      </w:r>
      <w:bookmarkStart w:id="1" w:name="_Hlk204699159"/>
      <w:r w:rsidR="000544EC">
        <w:rPr>
          <w:rFonts w:asciiTheme="minorHAnsi" w:hAnsiTheme="minorHAnsi" w:cstheme="minorHAnsi"/>
          <w:color w:val="auto"/>
        </w:rPr>
        <w:t>2020]</w:t>
      </w:r>
      <w:bookmarkEnd w:id="1"/>
      <w:r w:rsidRPr="00DA6B33">
        <w:rPr>
          <w:rFonts w:asciiTheme="minorHAnsi" w:hAnsiTheme="minorHAnsi" w:cstheme="minorHAnsi"/>
          <w:color w:val="auto"/>
        </w:rPr>
        <w:t xml:space="preserve">. It is important to note </w:t>
      </w:r>
      <w:r w:rsidR="009E3098" w:rsidRPr="00DA6B33">
        <w:rPr>
          <w:rFonts w:asciiTheme="minorHAnsi" w:hAnsiTheme="minorHAnsi" w:cstheme="minorHAnsi"/>
          <w:color w:val="auto"/>
        </w:rPr>
        <w:t>that</w:t>
      </w:r>
      <w:r w:rsidR="009E3098">
        <w:rPr>
          <w:rFonts w:asciiTheme="minorHAnsi" w:hAnsiTheme="minorHAnsi" w:cstheme="minorHAnsi"/>
          <w:color w:val="auto"/>
        </w:rPr>
        <w:t xml:space="preserve">, since the </w:t>
      </w:r>
      <w:r w:rsidRPr="00DA6B33">
        <w:rPr>
          <w:rFonts w:asciiTheme="minorHAnsi" w:hAnsiTheme="minorHAnsi" w:cstheme="minorHAnsi"/>
          <w:color w:val="auto"/>
        </w:rPr>
        <w:t xml:space="preserve">clinical effectiveness </w:t>
      </w:r>
      <w:r w:rsidR="009E3098">
        <w:rPr>
          <w:rFonts w:asciiTheme="minorHAnsi" w:hAnsiTheme="minorHAnsi" w:cstheme="minorHAnsi"/>
          <w:color w:val="auto"/>
        </w:rPr>
        <w:t xml:space="preserve">is based </w:t>
      </w:r>
      <w:r w:rsidR="00E878C4">
        <w:rPr>
          <w:rFonts w:asciiTheme="minorHAnsi" w:hAnsiTheme="minorHAnsi" w:cstheme="minorHAnsi"/>
          <w:color w:val="auto"/>
        </w:rPr>
        <w:t>on</w:t>
      </w:r>
      <w:r w:rsidR="009E3098">
        <w:rPr>
          <w:rFonts w:asciiTheme="minorHAnsi" w:hAnsiTheme="minorHAnsi" w:cstheme="minorHAnsi"/>
          <w:color w:val="auto"/>
        </w:rPr>
        <w:t xml:space="preserve"> </w:t>
      </w:r>
      <w:r w:rsidRPr="00DA6B33">
        <w:rPr>
          <w:rFonts w:asciiTheme="minorHAnsi" w:hAnsiTheme="minorHAnsi" w:cstheme="minorHAnsi"/>
          <w:color w:val="auto"/>
        </w:rPr>
        <w:t>LET (</w:t>
      </w:r>
      <w:r w:rsidR="00AF6983" w:rsidRPr="00E878C4">
        <w:rPr>
          <w:rFonts w:asciiTheme="minorHAnsi" w:hAnsiTheme="minorHAnsi" w:cstheme="minorHAnsi"/>
          <w:color w:val="auto"/>
        </w:rPr>
        <w:t>specifically</w:t>
      </w:r>
      <w:r w:rsidR="00AF6983" w:rsidRPr="00DA6B33">
        <w:rPr>
          <w:rFonts w:asciiTheme="minorHAnsi" w:hAnsiTheme="minorHAnsi" w:cstheme="minorHAnsi"/>
          <w:color w:val="auto"/>
        </w:rPr>
        <w:t xml:space="preserve"> </w:t>
      </w:r>
      <w:r w:rsidRPr="00DA6B33">
        <w:rPr>
          <w:rFonts w:asciiTheme="minorHAnsi" w:hAnsiTheme="minorHAnsi" w:cstheme="minorHAnsi"/>
          <w:color w:val="auto"/>
        </w:rPr>
        <w:t xml:space="preserve">its simplified form LETd), </w:t>
      </w:r>
      <w:r w:rsidR="009E3098">
        <w:rPr>
          <w:rFonts w:asciiTheme="minorHAnsi" w:hAnsiTheme="minorHAnsi" w:cstheme="minorHAnsi"/>
          <w:color w:val="auto"/>
        </w:rPr>
        <w:t>only non-</w:t>
      </w:r>
      <w:r w:rsidRPr="00DA6B33">
        <w:rPr>
          <w:rFonts w:asciiTheme="minorHAnsi" w:hAnsiTheme="minorHAnsi" w:cstheme="minorHAnsi"/>
          <w:color w:val="auto"/>
        </w:rPr>
        <w:t xml:space="preserve">stochastic </w:t>
      </w:r>
      <w:r w:rsidR="009E3098">
        <w:rPr>
          <w:rFonts w:asciiTheme="minorHAnsi" w:hAnsiTheme="minorHAnsi" w:cstheme="minorHAnsi"/>
          <w:color w:val="auto"/>
        </w:rPr>
        <w:t>parameters are considered</w:t>
      </w:r>
      <w:r w:rsidRPr="00DA6B33">
        <w:rPr>
          <w:rFonts w:asciiTheme="minorHAnsi" w:hAnsiTheme="minorHAnsi" w:cstheme="minorHAnsi"/>
          <w:color w:val="auto"/>
        </w:rPr>
        <w:t>.</w:t>
      </w:r>
      <w:r>
        <w:rPr>
          <w:rFonts w:asciiTheme="minorHAnsi" w:hAnsiTheme="minorHAnsi" w:cstheme="minorHAnsi"/>
          <w:color w:val="auto"/>
        </w:rPr>
        <w:t xml:space="preserve"> </w:t>
      </w:r>
      <w:r w:rsidR="00AF6983" w:rsidRPr="00E878C4">
        <w:rPr>
          <w:rFonts w:asciiTheme="minorHAnsi" w:hAnsiTheme="minorHAnsi" w:cstheme="minorHAnsi"/>
          <w:color w:val="auto"/>
        </w:rPr>
        <w:t>This perspective aligns with emerging strategies such as LET painting and the simultaneous optimization of dose and LET</w:t>
      </w:r>
      <w:r w:rsidR="00357132">
        <w:rPr>
          <w:rFonts w:asciiTheme="minorHAnsi" w:hAnsiTheme="minorHAnsi" w:cstheme="minorHAnsi"/>
          <w:color w:val="auto"/>
        </w:rPr>
        <w:t xml:space="preserve"> [</w:t>
      </w:r>
      <w:r w:rsidR="004B201E" w:rsidRPr="004B201E">
        <w:rPr>
          <w:rFonts w:asciiTheme="minorHAnsi" w:hAnsiTheme="minorHAnsi" w:cstheme="minorHAnsi"/>
          <w:color w:val="auto"/>
        </w:rPr>
        <w:t>Fredriksson 2023]</w:t>
      </w:r>
      <w:r w:rsidR="00CF183C">
        <w:rPr>
          <w:rFonts w:asciiTheme="minorHAnsi" w:hAnsiTheme="minorHAnsi" w:cstheme="minorHAnsi"/>
          <w:color w:val="auto"/>
        </w:rPr>
        <w:t xml:space="preserve">. </w:t>
      </w:r>
      <w:r w:rsidR="009E3098">
        <w:rPr>
          <w:rFonts w:asciiTheme="minorHAnsi" w:hAnsiTheme="minorHAnsi" w:cstheme="minorHAnsi"/>
          <w:color w:val="auto"/>
        </w:rPr>
        <w:t xml:space="preserve">Although the use of LETd could be </w:t>
      </w:r>
      <w:r w:rsidR="00AF6983" w:rsidRPr="00E878C4">
        <w:rPr>
          <w:rFonts w:asciiTheme="minorHAnsi" w:hAnsiTheme="minorHAnsi" w:cstheme="minorHAnsi"/>
          <w:color w:val="auto"/>
        </w:rPr>
        <w:t xml:space="preserve">viewed as </w:t>
      </w:r>
      <w:r w:rsidR="009E3098">
        <w:rPr>
          <w:rFonts w:asciiTheme="minorHAnsi" w:hAnsiTheme="minorHAnsi" w:cstheme="minorHAnsi"/>
          <w:color w:val="auto"/>
        </w:rPr>
        <w:t xml:space="preserve">an </w:t>
      </w:r>
      <w:r w:rsidR="00FD6A23">
        <w:rPr>
          <w:rFonts w:asciiTheme="minorHAnsi" w:hAnsiTheme="minorHAnsi" w:cstheme="minorHAnsi"/>
          <w:color w:val="auto"/>
        </w:rPr>
        <w:t>oversimplification</w:t>
      </w:r>
      <w:r w:rsidR="009E3098">
        <w:rPr>
          <w:rFonts w:asciiTheme="minorHAnsi" w:hAnsiTheme="minorHAnsi" w:cstheme="minorHAnsi"/>
          <w:color w:val="auto"/>
        </w:rPr>
        <w:t xml:space="preserve"> </w:t>
      </w:r>
      <w:r w:rsidR="00AF6983" w:rsidRPr="00E878C4">
        <w:rPr>
          <w:rFonts w:asciiTheme="minorHAnsi" w:hAnsiTheme="minorHAnsi" w:cstheme="minorHAnsi"/>
          <w:color w:val="auto"/>
        </w:rPr>
        <w:t xml:space="preserve">driven by the lack of more detailed </w:t>
      </w:r>
      <w:r w:rsidR="00FD6A23">
        <w:rPr>
          <w:rFonts w:asciiTheme="minorHAnsi" w:hAnsiTheme="minorHAnsi" w:cstheme="minorHAnsi"/>
          <w:color w:val="auto"/>
        </w:rPr>
        <w:t xml:space="preserve">data, </w:t>
      </w:r>
      <w:r w:rsidR="00AF6983" w:rsidRPr="00AF6983">
        <w:rPr>
          <w:rFonts w:asciiTheme="minorHAnsi" w:hAnsiTheme="minorHAnsi" w:cstheme="minorHAnsi"/>
          <w:color w:val="auto"/>
        </w:rPr>
        <w:t>the prevailing conclusion is that the stochastic nature of energy deposition plays a limited role, at least as a first-order approximation.</w:t>
      </w:r>
    </w:p>
    <w:p w14:paraId="5A27FA96" w14:textId="74DA9FD5" w:rsidR="003C0EC3" w:rsidRPr="003C0EC3" w:rsidRDefault="00005515" w:rsidP="003C0EC3">
      <w:pPr>
        <w:pStyle w:val="Normal1"/>
        <w:jc w:val="both"/>
        <w:rPr>
          <w:rFonts w:asciiTheme="minorHAnsi" w:hAnsiTheme="minorHAnsi" w:cstheme="minorHAnsi"/>
          <w:b/>
          <w:bCs/>
          <w:color w:val="auto"/>
        </w:rPr>
      </w:pPr>
      <w:r>
        <w:rPr>
          <w:rFonts w:asciiTheme="minorHAnsi" w:hAnsiTheme="minorHAnsi" w:cstheme="minorHAnsi"/>
          <w:b/>
          <w:bCs/>
          <w:color w:val="auto"/>
        </w:rPr>
        <w:t>The</w:t>
      </w:r>
      <w:r w:rsidR="006A0C90">
        <w:rPr>
          <w:rFonts w:asciiTheme="minorHAnsi" w:hAnsiTheme="minorHAnsi" w:cstheme="minorHAnsi"/>
          <w:b/>
          <w:bCs/>
          <w:color w:val="auto"/>
        </w:rPr>
        <w:t xml:space="preserve"> role of </w:t>
      </w:r>
      <w:r w:rsidR="006C62D1" w:rsidRPr="003C0EC3">
        <w:rPr>
          <w:rFonts w:asciiTheme="minorHAnsi" w:hAnsiTheme="minorHAnsi" w:cstheme="minorHAnsi"/>
          <w:b/>
          <w:bCs/>
          <w:color w:val="auto"/>
        </w:rPr>
        <w:t>stochastic contributions in ion-beam therapy</w:t>
      </w:r>
    </w:p>
    <w:p w14:paraId="32C8F52E" w14:textId="3063E8C6" w:rsidR="00017166" w:rsidRDefault="006A0C90" w:rsidP="0060186A">
      <w:pPr>
        <w:pStyle w:val="Normal1"/>
        <w:jc w:val="both"/>
        <w:rPr>
          <w:rFonts w:asciiTheme="minorHAnsi" w:hAnsiTheme="minorHAnsi" w:cstheme="minorHAnsi"/>
          <w:color w:val="auto"/>
        </w:rPr>
      </w:pPr>
      <w:r w:rsidRPr="006A0C90">
        <w:rPr>
          <w:rFonts w:asciiTheme="minorHAnsi" w:hAnsiTheme="minorHAnsi" w:cstheme="minorHAnsi"/>
          <w:color w:val="auto"/>
        </w:rPr>
        <w:t>A critical perspective may argue that the limited relevance attributed</w:t>
      </w:r>
      <w:r w:rsidR="00017166">
        <w:rPr>
          <w:rFonts w:asciiTheme="minorHAnsi" w:hAnsiTheme="minorHAnsi" w:cstheme="minorHAnsi"/>
          <w:color w:val="auto"/>
        </w:rPr>
        <w:t xml:space="preserve">, in the discussion above, </w:t>
      </w:r>
      <w:r w:rsidRPr="006A0C90">
        <w:rPr>
          <w:rFonts w:asciiTheme="minorHAnsi" w:hAnsiTheme="minorHAnsi" w:cstheme="minorHAnsi"/>
          <w:color w:val="auto"/>
        </w:rPr>
        <w:t>to stochastic effects in ion-beam therapy</w:t>
      </w:r>
      <w:r w:rsidR="00017166">
        <w:rPr>
          <w:rFonts w:asciiTheme="minorHAnsi" w:hAnsiTheme="minorHAnsi" w:cstheme="minorHAnsi"/>
          <w:color w:val="auto"/>
        </w:rPr>
        <w:t xml:space="preserve"> </w:t>
      </w:r>
      <w:r w:rsidR="00017166" w:rsidRPr="00AF6983">
        <w:rPr>
          <w:rFonts w:asciiTheme="minorHAnsi" w:hAnsiTheme="minorHAnsi" w:cstheme="minorHAnsi"/>
          <w:color w:val="auto"/>
        </w:rPr>
        <w:t>reflects the constraints of current early-stage methodologies, which may fail to capture significant stochastic contributions.</w:t>
      </w:r>
    </w:p>
    <w:p w14:paraId="0F3591BA" w14:textId="7526324E" w:rsidR="00AF6983" w:rsidRDefault="00AF6983" w:rsidP="0060186A">
      <w:pPr>
        <w:pStyle w:val="Normal1"/>
        <w:jc w:val="both"/>
        <w:rPr>
          <w:rFonts w:asciiTheme="minorHAnsi" w:hAnsiTheme="minorHAnsi" w:cstheme="minorHAnsi"/>
          <w:color w:val="auto"/>
        </w:rPr>
      </w:pPr>
      <w:r w:rsidRPr="00AF6983">
        <w:rPr>
          <w:rFonts w:asciiTheme="minorHAnsi" w:hAnsiTheme="minorHAnsi" w:cstheme="minorHAnsi"/>
          <w:color w:val="auto"/>
        </w:rPr>
        <w:t>It is therefore important to highlight several mechanisms</w:t>
      </w:r>
      <w:r w:rsidR="00017166">
        <w:rPr>
          <w:rFonts w:asciiTheme="minorHAnsi" w:hAnsiTheme="minorHAnsi" w:cstheme="minorHAnsi"/>
          <w:color w:val="auto"/>
        </w:rPr>
        <w:t xml:space="preserve">, </w:t>
      </w:r>
      <w:r w:rsidRPr="00AF6983">
        <w:rPr>
          <w:rFonts w:asciiTheme="minorHAnsi" w:hAnsiTheme="minorHAnsi" w:cstheme="minorHAnsi"/>
          <w:color w:val="auto"/>
        </w:rPr>
        <w:t>intrinsically linked to the stochastic nature of radiation interactions</w:t>
      </w:r>
      <w:r w:rsidR="00017166">
        <w:rPr>
          <w:rFonts w:asciiTheme="minorHAnsi" w:hAnsiTheme="minorHAnsi" w:cstheme="minorHAnsi"/>
          <w:color w:val="auto"/>
        </w:rPr>
        <w:t xml:space="preserve">, </w:t>
      </w:r>
      <w:r w:rsidRPr="00AF6983">
        <w:rPr>
          <w:rFonts w:asciiTheme="minorHAnsi" w:hAnsiTheme="minorHAnsi" w:cstheme="minorHAnsi"/>
          <w:color w:val="auto"/>
        </w:rPr>
        <w:t>that could meaningfully influence microdosimetric measurements and deserve consideration in ongoing discussions.</w:t>
      </w:r>
    </w:p>
    <w:p w14:paraId="1D63C0DF" w14:textId="7DA83451" w:rsidR="006A0C90" w:rsidRPr="000544EC" w:rsidRDefault="00CF183C" w:rsidP="006A0C90">
      <w:pPr>
        <w:pStyle w:val="Normal1"/>
        <w:jc w:val="both"/>
        <w:rPr>
          <w:rFonts w:asciiTheme="minorHAnsi" w:hAnsiTheme="minorHAnsi" w:cstheme="minorHAnsi"/>
          <w:i/>
          <w:iCs/>
          <w:color w:val="auto"/>
        </w:rPr>
      </w:pPr>
      <w:r w:rsidRPr="000544EC">
        <w:rPr>
          <w:rFonts w:asciiTheme="minorHAnsi" w:hAnsiTheme="minorHAnsi" w:cstheme="minorHAnsi"/>
          <w:i/>
          <w:iCs/>
          <w:color w:val="auto"/>
        </w:rPr>
        <w:t>i</w:t>
      </w:r>
      <w:r w:rsidR="006A0C90" w:rsidRPr="000544EC">
        <w:rPr>
          <w:rFonts w:asciiTheme="minorHAnsi" w:hAnsiTheme="minorHAnsi" w:cstheme="minorHAnsi"/>
          <w:i/>
          <w:iCs/>
          <w:color w:val="auto"/>
        </w:rPr>
        <w:t>. Pre-Detector Interactions</w:t>
      </w:r>
    </w:p>
    <w:p w14:paraId="4C9F84FC" w14:textId="77777777"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Several stochastic effects occur before the radiation reaches the sensitive volume of the microdosimeter:</w:t>
      </w:r>
    </w:p>
    <w:p w14:paraId="6B1A6224" w14:textId="7F586492" w:rsidR="006A0C90" w:rsidRPr="006A0C90" w:rsidRDefault="006A0C90" w:rsidP="006A0C90">
      <w:pPr>
        <w:pStyle w:val="Normal1"/>
        <w:jc w:val="both"/>
        <w:rPr>
          <w:rFonts w:asciiTheme="minorHAnsi" w:hAnsiTheme="minorHAnsi" w:cstheme="minorHAnsi"/>
          <w:color w:val="auto"/>
        </w:rPr>
      </w:pPr>
      <w:r w:rsidRPr="00017166">
        <w:rPr>
          <w:rFonts w:asciiTheme="minorHAnsi" w:hAnsiTheme="minorHAnsi" w:cstheme="minorHAnsi"/>
          <w:i/>
          <w:iCs/>
          <w:color w:val="auto"/>
        </w:rPr>
        <w:t>Energy Straggling</w:t>
      </w:r>
      <w:r w:rsidR="00017166">
        <w:rPr>
          <w:rFonts w:asciiTheme="minorHAnsi" w:hAnsiTheme="minorHAnsi" w:cstheme="minorHAnsi"/>
          <w:color w:val="auto"/>
        </w:rPr>
        <w:t xml:space="preserve">. </w:t>
      </w:r>
      <w:r w:rsidRPr="006A0C90">
        <w:rPr>
          <w:rFonts w:asciiTheme="minorHAnsi" w:hAnsiTheme="minorHAnsi" w:cstheme="minorHAnsi"/>
          <w:color w:val="auto"/>
        </w:rPr>
        <w:t xml:space="preserve">As ions traverse tissue, they undergo numerous stochastic collisions, leading to energy straggling. This results in an increasing energy spread, even for initially monoenergetic beams. The effect is more pronounced for protons due to their lower mass and higher scattering </w:t>
      </w:r>
      <w:r w:rsidRPr="006A0C90">
        <w:rPr>
          <w:rFonts w:asciiTheme="minorHAnsi" w:hAnsiTheme="minorHAnsi" w:cstheme="minorHAnsi"/>
          <w:color w:val="auto"/>
        </w:rPr>
        <w:lastRenderedPageBreak/>
        <w:t>probability, and less significant for heavier ions like carbon.</w:t>
      </w:r>
    </w:p>
    <w:p w14:paraId="59B03787" w14:textId="00A42334" w:rsidR="006A0C90" w:rsidRPr="006A0C90" w:rsidRDefault="006A0C90" w:rsidP="006A0C90">
      <w:pPr>
        <w:pStyle w:val="Normal1"/>
        <w:jc w:val="both"/>
        <w:rPr>
          <w:rFonts w:asciiTheme="minorHAnsi" w:hAnsiTheme="minorHAnsi" w:cstheme="minorHAnsi"/>
          <w:color w:val="auto"/>
        </w:rPr>
      </w:pPr>
      <w:r w:rsidRPr="00017166">
        <w:rPr>
          <w:rFonts w:asciiTheme="minorHAnsi" w:hAnsiTheme="minorHAnsi" w:cstheme="minorHAnsi"/>
          <w:i/>
          <w:iCs/>
          <w:color w:val="auto"/>
        </w:rPr>
        <w:t>Nuclear Fragmentation</w:t>
      </w:r>
      <w:r w:rsidR="00017166">
        <w:rPr>
          <w:rFonts w:asciiTheme="minorHAnsi" w:hAnsiTheme="minorHAnsi" w:cstheme="minorHAnsi"/>
          <w:color w:val="auto"/>
        </w:rPr>
        <w:t>.</w:t>
      </w:r>
      <w:r w:rsidRPr="006A0C90">
        <w:rPr>
          <w:rFonts w:asciiTheme="minorHAnsi" w:hAnsiTheme="minorHAnsi" w:cstheme="minorHAnsi"/>
          <w:color w:val="auto"/>
        </w:rPr>
        <w:t xml:space="preserve"> Primary ions may undergo stochastic nuclear fragmentation, producing secondary fragments with different trajectories and ionization patterns. These fragments contribute increasingly to the microdosimetric spectrum up to the Bragg peak. For carbon ions, this is evident </w:t>
      </w:r>
      <w:r>
        <w:rPr>
          <w:rFonts w:asciiTheme="minorHAnsi" w:hAnsiTheme="minorHAnsi" w:cstheme="minorHAnsi"/>
          <w:color w:val="auto"/>
        </w:rPr>
        <w:t>at</w:t>
      </w:r>
      <w:r w:rsidRPr="006A0C90">
        <w:rPr>
          <w:rFonts w:asciiTheme="minorHAnsi" w:hAnsiTheme="minorHAnsi" w:cstheme="minorHAnsi"/>
          <w:color w:val="auto"/>
        </w:rPr>
        <w:t xml:space="preserve"> the </w:t>
      </w:r>
      <w:r>
        <w:rPr>
          <w:rFonts w:asciiTheme="minorHAnsi" w:hAnsiTheme="minorHAnsi" w:cstheme="minorHAnsi"/>
          <w:color w:val="auto"/>
        </w:rPr>
        <w:t xml:space="preserve">fragmentation </w:t>
      </w:r>
      <w:r w:rsidRPr="006A0C90">
        <w:rPr>
          <w:rFonts w:asciiTheme="minorHAnsi" w:hAnsiTheme="minorHAnsi" w:cstheme="minorHAnsi"/>
          <w:color w:val="auto"/>
        </w:rPr>
        <w:t xml:space="preserve">tail </w:t>
      </w:r>
      <w:r>
        <w:rPr>
          <w:rFonts w:asciiTheme="minorHAnsi" w:hAnsiTheme="minorHAnsi" w:cstheme="minorHAnsi"/>
          <w:color w:val="auto"/>
        </w:rPr>
        <w:t xml:space="preserve">in the </w:t>
      </w:r>
      <w:r w:rsidRPr="006A0C90">
        <w:rPr>
          <w:rFonts w:asciiTheme="minorHAnsi" w:hAnsiTheme="minorHAnsi" w:cstheme="minorHAnsi"/>
          <w:color w:val="auto"/>
        </w:rPr>
        <w:t xml:space="preserve">distal </w:t>
      </w:r>
      <w:r>
        <w:rPr>
          <w:rFonts w:asciiTheme="minorHAnsi" w:hAnsiTheme="minorHAnsi" w:cstheme="minorHAnsi"/>
          <w:color w:val="auto"/>
        </w:rPr>
        <w:t xml:space="preserve">part </w:t>
      </w:r>
      <w:r w:rsidRPr="006A0C90">
        <w:rPr>
          <w:rFonts w:asciiTheme="minorHAnsi" w:hAnsiTheme="minorHAnsi" w:cstheme="minorHAnsi"/>
          <w:color w:val="auto"/>
        </w:rPr>
        <w:t xml:space="preserve">of the Bragg </w:t>
      </w:r>
      <w:r>
        <w:rPr>
          <w:rFonts w:asciiTheme="minorHAnsi" w:hAnsiTheme="minorHAnsi" w:cstheme="minorHAnsi"/>
          <w:color w:val="auto"/>
        </w:rPr>
        <w:t>curve</w:t>
      </w:r>
      <w:r w:rsidRPr="006A0C90">
        <w:rPr>
          <w:rFonts w:asciiTheme="minorHAnsi" w:hAnsiTheme="minorHAnsi" w:cstheme="minorHAnsi"/>
          <w:color w:val="auto"/>
        </w:rPr>
        <w:t>.</w:t>
      </w:r>
    </w:p>
    <w:p w14:paraId="6F0C8125" w14:textId="71BA4C96"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Target Recoil Events: Recent studies </w:t>
      </w:r>
      <w:r w:rsidR="00017166">
        <w:rPr>
          <w:rFonts w:asciiTheme="minorHAnsi" w:hAnsiTheme="minorHAnsi" w:cstheme="minorHAnsi"/>
          <w:color w:val="auto"/>
        </w:rPr>
        <w:t>[</w:t>
      </w:r>
      <w:r w:rsidR="00090E75">
        <w:rPr>
          <w:rFonts w:asciiTheme="minorHAnsi" w:hAnsiTheme="minorHAnsi" w:cstheme="minorHAnsi"/>
          <w:color w:val="auto"/>
        </w:rPr>
        <w:t>G.</w:t>
      </w:r>
      <w:r w:rsidRPr="006A0C90">
        <w:rPr>
          <w:rFonts w:asciiTheme="minorHAnsi" w:hAnsiTheme="minorHAnsi" w:cstheme="minorHAnsi"/>
          <w:color w:val="auto"/>
        </w:rPr>
        <w:t>Parisi</w:t>
      </w:r>
      <w:r w:rsidR="00017166">
        <w:rPr>
          <w:rFonts w:asciiTheme="minorHAnsi" w:hAnsiTheme="minorHAnsi" w:cstheme="minorHAnsi"/>
          <w:color w:val="auto"/>
        </w:rPr>
        <w:t xml:space="preserve"> 2025]</w:t>
      </w:r>
      <w:r w:rsidRPr="006A0C90">
        <w:rPr>
          <w:rFonts w:asciiTheme="minorHAnsi" w:hAnsiTheme="minorHAnsi" w:cstheme="minorHAnsi"/>
          <w:color w:val="auto"/>
        </w:rPr>
        <w:t xml:space="preserve"> have shown that in low-energy proton irradiation, nuclear collisions can displace target atoms, producing localized high-LET events. Although rare, such events contribute stochastically to the spectrum and </w:t>
      </w:r>
      <w:r w:rsidR="00CF183C">
        <w:rPr>
          <w:rFonts w:asciiTheme="minorHAnsi" w:hAnsiTheme="minorHAnsi" w:cstheme="minorHAnsi"/>
          <w:color w:val="auto"/>
        </w:rPr>
        <w:t xml:space="preserve">their </w:t>
      </w:r>
      <w:r w:rsidRPr="006A0C90">
        <w:rPr>
          <w:rFonts w:asciiTheme="minorHAnsi" w:hAnsiTheme="minorHAnsi" w:cstheme="minorHAnsi"/>
          <w:color w:val="auto"/>
        </w:rPr>
        <w:t>biological significance</w:t>
      </w:r>
      <w:r w:rsidR="00CF183C">
        <w:rPr>
          <w:rFonts w:asciiTheme="minorHAnsi" w:hAnsiTheme="minorHAnsi" w:cstheme="minorHAnsi"/>
          <w:color w:val="auto"/>
        </w:rPr>
        <w:t xml:space="preserve"> should be assessed</w:t>
      </w:r>
      <w:r w:rsidRPr="006A0C90">
        <w:rPr>
          <w:rFonts w:asciiTheme="minorHAnsi" w:hAnsiTheme="minorHAnsi" w:cstheme="minorHAnsi"/>
          <w:color w:val="auto"/>
        </w:rPr>
        <w:t>.</w:t>
      </w:r>
    </w:p>
    <w:p w14:paraId="5CE88FCF" w14:textId="6BB22A22"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 xml:space="preserve">Delta Rays: As discussed in relation to Figure </w:t>
      </w:r>
      <w:r w:rsidR="00CF1566">
        <w:rPr>
          <w:rFonts w:asciiTheme="minorHAnsi" w:hAnsiTheme="minorHAnsi" w:cstheme="minorHAnsi"/>
          <w:color w:val="auto"/>
        </w:rPr>
        <w:t>2</w:t>
      </w:r>
      <w:r w:rsidRPr="006A0C90">
        <w:rPr>
          <w:rFonts w:asciiTheme="minorHAnsi" w:hAnsiTheme="minorHAnsi" w:cstheme="minorHAnsi"/>
          <w:color w:val="auto"/>
        </w:rPr>
        <w:t>, delta electrons generated outside the sensitive volume can enter it, contributing to the low-energy tail of the microdosimetric spectrum. These contributions are inherently stochastic</w:t>
      </w:r>
      <w:r w:rsidR="00CF183C">
        <w:rPr>
          <w:rFonts w:asciiTheme="minorHAnsi" w:hAnsiTheme="minorHAnsi" w:cstheme="minorHAnsi"/>
          <w:color w:val="auto"/>
        </w:rPr>
        <w:t xml:space="preserve"> and contribute to a significant percentage of the absorbed dose</w:t>
      </w:r>
      <w:r w:rsidRPr="006A0C90">
        <w:rPr>
          <w:rFonts w:asciiTheme="minorHAnsi" w:hAnsiTheme="minorHAnsi" w:cstheme="minorHAnsi"/>
          <w:color w:val="auto"/>
        </w:rPr>
        <w:t>.</w:t>
      </w:r>
    </w:p>
    <w:p w14:paraId="51F5FECC" w14:textId="6A1ADC25"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w:t>
      </w:r>
      <w:r w:rsidR="006A0C90" w:rsidRPr="0082085A">
        <w:rPr>
          <w:rFonts w:asciiTheme="minorHAnsi" w:hAnsiTheme="minorHAnsi" w:cstheme="minorHAnsi"/>
          <w:i/>
          <w:iCs/>
          <w:color w:val="auto"/>
        </w:rPr>
        <w:t>. Site Size Effects</w:t>
      </w:r>
    </w:p>
    <w:p w14:paraId="63DFB052" w14:textId="1B4EEDFD" w:rsidR="006A0C90" w:rsidRP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nanometric or sub-cellular scales, the stochasticity of energy deposition becomes increasingly relevant. When site sizes are on the order of nanometers, the randomness of interaction points dominates. This is the domain of nanodosimetry</w:t>
      </w:r>
      <w:r w:rsidR="00CF183C">
        <w:rPr>
          <w:rFonts w:asciiTheme="minorHAnsi" w:hAnsiTheme="minorHAnsi" w:cstheme="minorHAnsi"/>
          <w:color w:val="auto"/>
        </w:rPr>
        <w:t>.</w:t>
      </w:r>
    </w:p>
    <w:p w14:paraId="0EADB1CB" w14:textId="3C8DBC4B" w:rsidR="006A0C90" w:rsidRPr="0082085A" w:rsidRDefault="00CF183C" w:rsidP="006A0C90">
      <w:pPr>
        <w:pStyle w:val="Normal1"/>
        <w:jc w:val="both"/>
        <w:rPr>
          <w:rFonts w:asciiTheme="minorHAnsi" w:hAnsiTheme="minorHAnsi" w:cstheme="minorHAnsi"/>
          <w:i/>
          <w:iCs/>
          <w:color w:val="auto"/>
        </w:rPr>
      </w:pPr>
      <w:r w:rsidRPr="0082085A">
        <w:rPr>
          <w:rFonts w:asciiTheme="minorHAnsi" w:hAnsiTheme="minorHAnsi" w:cstheme="minorHAnsi"/>
          <w:i/>
          <w:iCs/>
          <w:color w:val="auto"/>
        </w:rPr>
        <w:t>iii</w:t>
      </w:r>
      <w:r w:rsidR="006A0C90" w:rsidRPr="0082085A">
        <w:rPr>
          <w:rFonts w:asciiTheme="minorHAnsi" w:hAnsiTheme="minorHAnsi" w:cstheme="minorHAnsi"/>
          <w:i/>
          <w:iCs/>
          <w:color w:val="auto"/>
        </w:rPr>
        <w:t>. Multiple Events</w:t>
      </w:r>
    </w:p>
    <w:p w14:paraId="5BCF5FA9" w14:textId="1997045D" w:rsidR="006A0C90" w:rsidRDefault="006A0C90" w:rsidP="006A0C90">
      <w:pPr>
        <w:pStyle w:val="Normal1"/>
        <w:jc w:val="both"/>
        <w:rPr>
          <w:rFonts w:asciiTheme="minorHAnsi" w:hAnsiTheme="minorHAnsi" w:cstheme="minorHAnsi"/>
          <w:color w:val="auto"/>
        </w:rPr>
      </w:pPr>
      <w:r w:rsidRPr="006A0C90">
        <w:rPr>
          <w:rFonts w:asciiTheme="minorHAnsi" w:hAnsiTheme="minorHAnsi" w:cstheme="minorHAnsi"/>
          <w:color w:val="auto"/>
        </w:rPr>
        <w:t>At clinically relevant doses, the likelihood of multiple radiation events occurring within a single cell nucleus is high</w:t>
      </w:r>
      <w:r w:rsidR="00CF183C">
        <w:rPr>
          <w:rFonts w:asciiTheme="minorHAnsi" w:hAnsiTheme="minorHAnsi" w:cstheme="minorHAnsi"/>
          <w:color w:val="auto"/>
        </w:rPr>
        <w:t xml:space="preserve"> (described as point (c) in the </w:t>
      </w:r>
      <w:r w:rsidR="00010DF1">
        <w:rPr>
          <w:rFonts w:asciiTheme="minorHAnsi" w:hAnsiTheme="minorHAnsi" w:cstheme="minorHAnsi"/>
          <w:color w:val="auto"/>
        </w:rPr>
        <w:t>section</w:t>
      </w:r>
      <w:r w:rsidR="00CF183C">
        <w:rPr>
          <w:rFonts w:asciiTheme="minorHAnsi" w:hAnsiTheme="minorHAnsi" w:cstheme="minorHAnsi"/>
          <w:color w:val="auto"/>
        </w:rPr>
        <w:t xml:space="preserve"> 2)</w:t>
      </w:r>
      <w:r w:rsidRPr="006A0C90">
        <w:rPr>
          <w:rFonts w:asciiTheme="minorHAnsi" w:hAnsiTheme="minorHAnsi" w:cstheme="minorHAnsi"/>
          <w:color w:val="auto"/>
        </w:rPr>
        <w:t>. This raises an ongoing debate about whether single-event metrics (e.g., lineal energy) are sufficient, or whether multiple-event distributions should be considered</w:t>
      </w:r>
      <w:r w:rsidR="00CF183C">
        <w:rPr>
          <w:rFonts w:asciiTheme="minorHAnsi" w:hAnsiTheme="minorHAnsi" w:cstheme="minorHAnsi"/>
          <w:color w:val="auto"/>
        </w:rPr>
        <w:t xml:space="preserve"> instead</w:t>
      </w:r>
      <w:r w:rsidRPr="006A0C90">
        <w:rPr>
          <w:rFonts w:asciiTheme="minorHAnsi" w:hAnsiTheme="minorHAnsi" w:cstheme="minorHAnsi"/>
          <w:color w:val="auto"/>
        </w:rPr>
        <w:t xml:space="preserve">. This is perhaps the strongest argument for incorporating stochastic analysis into the assessment of radiation quality in ion-beam therapy. Addressing this </w:t>
      </w:r>
      <w:r w:rsidR="00CF183C">
        <w:rPr>
          <w:rFonts w:asciiTheme="minorHAnsi" w:hAnsiTheme="minorHAnsi" w:cstheme="minorHAnsi"/>
          <w:color w:val="auto"/>
        </w:rPr>
        <w:t xml:space="preserve">point </w:t>
      </w:r>
      <w:r w:rsidRPr="006A0C90">
        <w:rPr>
          <w:rFonts w:asciiTheme="minorHAnsi" w:hAnsiTheme="minorHAnsi" w:cstheme="minorHAnsi"/>
          <w:color w:val="auto"/>
        </w:rPr>
        <w:t>require</w:t>
      </w:r>
      <w:r w:rsidR="00CF183C">
        <w:rPr>
          <w:rFonts w:asciiTheme="minorHAnsi" w:hAnsiTheme="minorHAnsi" w:cstheme="minorHAnsi"/>
          <w:color w:val="auto"/>
        </w:rPr>
        <w:t>s</w:t>
      </w:r>
      <w:r w:rsidRPr="006A0C90">
        <w:rPr>
          <w:rFonts w:asciiTheme="minorHAnsi" w:hAnsiTheme="minorHAnsi" w:cstheme="minorHAnsi"/>
          <w:color w:val="auto"/>
        </w:rPr>
        <w:t xml:space="preserve"> a </w:t>
      </w:r>
      <w:r w:rsidR="00CF183C">
        <w:rPr>
          <w:rFonts w:asciiTheme="minorHAnsi" w:hAnsiTheme="minorHAnsi" w:cstheme="minorHAnsi"/>
          <w:color w:val="auto"/>
        </w:rPr>
        <w:t xml:space="preserve">critical </w:t>
      </w:r>
      <w:r w:rsidR="008A60AD">
        <w:rPr>
          <w:rFonts w:asciiTheme="minorHAnsi" w:hAnsiTheme="minorHAnsi" w:cstheme="minorHAnsi"/>
          <w:color w:val="auto"/>
        </w:rPr>
        <w:t xml:space="preserve">analysis </w:t>
      </w:r>
      <w:r w:rsidR="00425236">
        <w:rPr>
          <w:rFonts w:asciiTheme="minorHAnsi" w:hAnsiTheme="minorHAnsi" w:cstheme="minorHAnsi"/>
          <w:color w:val="auto"/>
        </w:rPr>
        <w:t xml:space="preserve">of the biological impact </w:t>
      </w:r>
      <w:r w:rsidR="008A60AD">
        <w:rPr>
          <w:rFonts w:asciiTheme="minorHAnsi" w:hAnsiTheme="minorHAnsi" w:cstheme="minorHAnsi"/>
          <w:color w:val="auto"/>
        </w:rPr>
        <w:t>more general</w:t>
      </w:r>
      <w:r w:rsidR="008A60AD" w:rsidRPr="006A0C90">
        <w:rPr>
          <w:rFonts w:asciiTheme="minorHAnsi" w:hAnsiTheme="minorHAnsi" w:cstheme="minorHAnsi"/>
          <w:color w:val="auto"/>
        </w:rPr>
        <w:t xml:space="preserve"> </w:t>
      </w:r>
      <w:r w:rsidR="00CF183C">
        <w:rPr>
          <w:rFonts w:asciiTheme="minorHAnsi" w:hAnsiTheme="minorHAnsi" w:cstheme="minorHAnsi"/>
          <w:color w:val="auto"/>
        </w:rPr>
        <w:t>than the one carried out here</w:t>
      </w:r>
      <w:r w:rsidR="008A60AD">
        <w:rPr>
          <w:rFonts w:asciiTheme="minorHAnsi" w:hAnsiTheme="minorHAnsi" w:cstheme="minorHAnsi"/>
          <w:color w:val="auto"/>
        </w:rPr>
        <w:t xml:space="preserve">, focusing on changing </w:t>
      </w:r>
      <w:r w:rsidRPr="006A0C90">
        <w:rPr>
          <w:rFonts w:asciiTheme="minorHAnsi" w:hAnsiTheme="minorHAnsi" w:cstheme="minorHAnsi"/>
          <w:color w:val="auto"/>
        </w:rPr>
        <w:t xml:space="preserve">current </w:t>
      </w:r>
      <w:r w:rsidR="00CF183C">
        <w:rPr>
          <w:rFonts w:asciiTheme="minorHAnsi" w:hAnsiTheme="minorHAnsi" w:cstheme="minorHAnsi"/>
          <w:color w:val="auto"/>
        </w:rPr>
        <w:t xml:space="preserve">universal clinical characterization of the radiation quality </w:t>
      </w:r>
      <w:r w:rsidR="008A60AD">
        <w:rPr>
          <w:rFonts w:asciiTheme="minorHAnsi" w:hAnsiTheme="minorHAnsi" w:cstheme="minorHAnsi"/>
          <w:color w:val="auto"/>
        </w:rPr>
        <w:t>in terms of</w:t>
      </w:r>
      <w:r w:rsidRPr="006A0C90">
        <w:rPr>
          <w:rFonts w:asciiTheme="minorHAnsi" w:hAnsiTheme="minorHAnsi" w:cstheme="minorHAnsi"/>
          <w:color w:val="auto"/>
        </w:rPr>
        <w:t xml:space="preserve"> energy deposition from </w:t>
      </w:r>
      <w:r w:rsidR="00741CD1">
        <w:rPr>
          <w:rFonts w:asciiTheme="minorHAnsi" w:hAnsiTheme="minorHAnsi" w:cstheme="minorHAnsi"/>
          <w:color w:val="auto"/>
        </w:rPr>
        <w:t>single</w:t>
      </w:r>
      <w:r w:rsidRPr="006A0C90">
        <w:rPr>
          <w:rFonts w:asciiTheme="minorHAnsi" w:hAnsiTheme="minorHAnsi" w:cstheme="minorHAnsi"/>
          <w:color w:val="auto"/>
        </w:rPr>
        <w:t xml:space="preserve"> events.</w:t>
      </w:r>
    </w:p>
    <w:bookmarkEnd w:id="0"/>
    <w:p w14:paraId="14226368" w14:textId="00F4C587" w:rsidR="00DF5AD3" w:rsidRPr="00CF1566" w:rsidRDefault="00C016D9" w:rsidP="0069063C">
      <w:pPr>
        <w:keepNext/>
        <w:keepLines/>
        <w:numPr>
          <w:ilvl w:val="0"/>
          <w:numId w:val="1"/>
        </w:numPr>
        <w:spacing w:before="40" w:after="0"/>
        <w:jc w:val="both"/>
        <w:outlineLvl w:val="1"/>
        <w:rPr>
          <w:rFonts w:ascii="Calibri" w:eastAsiaTheme="majorEastAsia" w:hAnsi="Calibri" w:cs="Arial"/>
          <w:b/>
          <w:bCs/>
          <w:sz w:val="20"/>
          <w:szCs w:val="20"/>
        </w:rPr>
      </w:pPr>
      <w:r w:rsidRPr="00CF1566">
        <w:rPr>
          <w:rFonts w:ascii="Calibri" w:eastAsiaTheme="majorEastAsia" w:hAnsi="Calibri" w:cs="Arial"/>
          <w:b/>
          <w:bCs/>
          <w:sz w:val="20"/>
          <w:szCs w:val="20"/>
        </w:rPr>
        <w:t xml:space="preserve">Significance </w:t>
      </w:r>
      <w:r w:rsidR="00DF5AD3" w:rsidRPr="00CF1566">
        <w:rPr>
          <w:rFonts w:ascii="Calibri" w:eastAsiaTheme="majorEastAsia" w:hAnsi="Calibri" w:cs="Arial"/>
          <w:b/>
          <w:bCs/>
          <w:sz w:val="20"/>
          <w:szCs w:val="20"/>
        </w:rPr>
        <w:t>of Stochastic Nature in LET</w:t>
      </w:r>
    </w:p>
    <w:p w14:paraId="0DFD7B2F" w14:textId="2E992D6E" w:rsidR="004F794C" w:rsidRDefault="004F794C" w:rsidP="00BC4442">
      <w:pPr>
        <w:jc w:val="both"/>
        <w:rPr>
          <w:rFonts w:ascii="Calibri" w:hAnsi="Calibri" w:cs="Arial"/>
          <w:sz w:val="20"/>
          <w:szCs w:val="20"/>
        </w:rPr>
      </w:pPr>
      <w:r w:rsidRPr="004F794C">
        <w:rPr>
          <w:rFonts w:ascii="Calibri" w:hAnsi="Calibri" w:cs="Arial"/>
          <w:sz w:val="20"/>
          <w:szCs w:val="20"/>
        </w:rPr>
        <w:t>Although LET is a deterministic quantity, it arises from inherently stochastic interactions between charged particles and the electrons of the traversed medium. Clarifying this relationship is both insightful and essential for a deeper understanding of energy deposition processes.</w:t>
      </w:r>
    </w:p>
    <w:p w14:paraId="3B8FF9E6" w14:textId="77777777" w:rsidR="00863762" w:rsidRPr="00863762" w:rsidRDefault="00863762" w:rsidP="00863762">
      <w:pPr>
        <w:jc w:val="both"/>
        <w:rPr>
          <w:rFonts w:ascii="Calibri" w:hAnsi="Calibri" w:cs="Arial"/>
          <w:sz w:val="20"/>
          <w:szCs w:val="20"/>
        </w:rPr>
      </w:pPr>
      <w:r w:rsidRPr="00863762">
        <w:rPr>
          <w:rFonts w:ascii="Calibri" w:hAnsi="Calibri" w:cs="Arial"/>
          <w:sz w:val="20"/>
          <w:szCs w:val="20"/>
        </w:rPr>
        <w:t>A foundational perspective on this topic was introduced by Rossi [Rossi, 1968], who illustrated how the distribution of energy transferred to electrons varies significantly with the mass of the target volume. His original figure, based on ions with energies of a few MeV, intuitively demonstrated how increasing the size of the sensitive volume reduces the variability in energy deposition.</w:t>
      </w:r>
    </w:p>
    <w:p w14:paraId="0DF765F7" w14:textId="2B27E3D6" w:rsidR="0041673B" w:rsidRDefault="00863762" w:rsidP="00863762">
      <w:pPr>
        <w:jc w:val="both"/>
        <w:rPr>
          <w:rFonts w:ascii="Calibri" w:hAnsi="Calibri" w:cs="Arial"/>
          <w:sz w:val="20"/>
          <w:szCs w:val="20"/>
        </w:rPr>
      </w:pPr>
      <w:r w:rsidRPr="00863762">
        <w:rPr>
          <w:rFonts w:ascii="Calibri" w:hAnsi="Calibri" w:cs="Arial"/>
          <w:sz w:val="20"/>
          <w:szCs w:val="20"/>
        </w:rPr>
        <w:t xml:space="preserve">Figure 6 presents an updated version of Rossi’s concept, adapted for ion energies in the hundreds of MeV—typical of clinical radiation fields. The energy-loss distributions shown are generated by recursively convolving the single-collision energy-loss spectrum, </w:t>
      </w:r>
      <w:r w:rsidRPr="00863762">
        <w:rPr>
          <w:rFonts w:ascii="Calibri" w:hAnsi="Calibri" w:cs="Arial"/>
          <w:sz w:val="20"/>
          <w:szCs w:val="20"/>
          <w:highlight w:val="yellow"/>
        </w:rPr>
        <w:t>as detailed in the Python code provided in the appendix</w:t>
      </w:r>
      <w:r>
        <w:rPr>
          <w:rFonts w:ascii="Calibri" w:hAnsi="Calibri" w:cs="Arial"/>
          <w:sz w:val="20"/>
          <w:szCs w:val="20"/>
        </w:rPr>
        <w:t>.</w:t>
      </w:r>
    </w:p>
    <w:p w14:paraId="609E91B0" w14:textId="0231AE17" w:rsidR="00C36D5E" w:rsidRDefault="00863762" w:rsidP="00DE54C0">
      <w:pPr>
        <w:jc w:val="both"/>
        <w:rPr>
          <w:rFonts w:ascii="Calibri" w:hAnsi="Calibri" w:cs="Arial"/>
          <w:sz w:val="20"/>
          <w:szCs w:val="20"/>
        </w:rPr>
      </w:pPr>
      <w:r w:rsidRPr="00863762">
        <w:rPr>
          <w:rFonts w:ascii="Calibri" w:hAnsi="Calibri" w:cs="Arial"/>
          <w:sz w:val="20"/>
          <w:szCs w:val="20"/>
        </w:rPr>
        <w:t>At these high energies, a small number of delta rays acquire</w:t>
      </w:r>
      <w:r w:rsidR="002F397F">
        <w:rPr>
          <w:rFonts w:ascii="Calibri" w:hAnsi="Calibri" w:cs="Arial"/>
          <w:sz w:val="20"/>
          <w:szCs w:val="20"/>
        </w:rPr>
        <w:t>s</w:t>
      </w:r>
      <w:r w:rsidRPr="00863762">
        <w:rPr>
          <w:rFonts w:ascii="Calibri" w:hAnsi="Calibri" w:cs="Arial"/>
          <w:sz w:val="20"/>
          <w:szCs w:val="20"/>
        </w:rPr>
        <w:t xml:space="preserve"> substantial energy, traveling hundreds of micrometers from the primary ionization site. </w:t>
      </w:r>
      <w:r>
        <w:rPr>
          <w:rFonts w:ascii="Calibri" w:hAnsi="Calibri" w:cs="Arial"/>
          <w:sz w:val="20"/>
          <w:szCs w:val="20"/>
        </w:rPr>
        <w:t>Additionally, t</w:t>
      </w:r>
      <w:r w:rsidRPr="00863762">
        <w:rPr>
          <w:rFonts w:ascii="Calibri" w:hAnsi="Calibri" w:cs="Arial"/>
          <w:sz w:val="20"/>
          <w:szCs w:val="20"/>
        </w:rPr>
        <w:t xml:space="preserve">heir trajectories </w:t>
      </w:r>
      <w:r>
        <w:rPr>
          <w:rFonts w:ascii="Calibri" w:hAnsi="Calibri" w:cs="Arial"/>
          <w:sz w:val="20"/>
          <w:szCs w:val="20"/>
        </w:rPr>
        <w:t xml:space="preserve">are </w:t>
      </w:r>
      <w:r w:rsidRPr="00863762">
        <w:rPr>
          <w:rFonts w:ascii="Calibri" w:hAnsi="Calibri" w:cs="Arial"/>
          <w:sz w:val="20"/>
          <w:szCs w:val="20"/>
        </w:rPr>
        <w:t>irregular</w:t>
      </w:r>
      <w:r>
        <w:rPr>
          <w:rFonts w:ascii="Calibri" w:hAnsi="Calibri" w:cs="Arial"/>
          <w:sz w:val="20"/>
          <w:szCs w:val="20"/>
        </w:rPr>
        <w:t xml:space="preserve">. </w:t>
      </w:r>
    </w:p>
    <w:p w14:paraId="5E5412A4" w14:textId="37C419E5" w:rsidR="002D1AF7" w:rsidRDefault="00C36D5E" w:rsidP="00DF5AD3">
      <w:pPr>
        <w:jc w:val="both"/>
        <w:rPr>
          <w:rFonts w:ascii="Calibri" w:hAnsi="Calibri" w:cs="Arial"/>
          <w:sz w:val="20"/>
          <w:szCs w:val="20"/>
        </w:rPr>
      </w:pPr>
      <w:r>
        <w:rPr>
          <w:rFonts w:ascii="Calibri" w:hAnsi="Calibri" w:cs="Arial"/>
          <w:sz w:val="20"/>
          <w:szCs w:val="20"/>
        </w:rPr>
        <w:t>In f</w:t>
      </w:r>
      <w:r w:rsidRPr="0013735B">
        <w:rPr>
          <w:rFonts w:ascii="Calibri" w:hAnsi="Calibri" w:cs="Arial"/>
          <w:sz w:val="20"/>
          <w:szCs w:val="20"/>
        </w:rPr>
        <w:t xml:space="preserve">igure </w:t>
      </w:r>
      <w:r>
        <w:rPr>
          <w:rFonts w:ascii="Calibri" w:hAnsi="Calibri" w:cs="Arial"/>
          <w:sz w:val="20"/>
          <w:szCs w:val="20"/>
        </w:rPr>
        <w:t>6, t</w:t>
      </w:r>
      <w:r w:rsidR="00863762" w:rsidRPr="00863762">
        <w:rPr>
          <w:rFonts w:ascii="Calibri" w:hAnsi="Calibri" w:cs="Arial"/>
          <w:sz w:val="20"/>
          <w:szCs w:val="20"/>
        </w:rPr>
        <w:t xml:space="preserve">o ensure inclusion of delta rays, cylindrical volumes with constant cross-sectional area and increasing thickness </w:t>
      </w:r>
      <w:r>
        <w:rPr>
          <w:rFonts w:ascii="Calibri" w:hAnsi="Calibri" w:cs="Arial"/>
          <w:sz w:val="20"/>
          <w:szCs w:val="20"/>
        </w:rPr>
        <w:t>are considered; t</w:t>
      </w:r>
      <w:r w:rsidR="00DE54C0">
        <w:rPr>
          <w:rFonts w:ascii="Calibri" w:hAnsi="Calibri" w:cs="Arial"/>
          <w:sz w:val="20"/>
          <w:szCs w:val="20"/>
        </w:rPr>
        <w:t xml:space="preserve">he energy loss </w:t>
      </w:r>
      <w:r w:rsidR="004F794C">
        <w:rPr>
          <w:rFonts w:ascii="Calibri" w:hAnsi="Calibri" w:cs="Arial"/>
          <w:sz w:val="20"/>
          <w:szCs w:val="20"/>
        </w:rPr>
        <w:t>per unit of length</w:t>
      </w:r>
      <w:r w:rsidR="00BC273C">
        <w:rPr>
          <w:rFonts w:ascii="Calibri" w:hAnsi="Calibri" w:cs="Arial"/>
          <w:sz w:val="20"/>
          <w:szCs w:val="20"/>
        </w:rPr>
        <w:t>—</w:t>
      </w:r>
      <w:r w:rsidR="00DC3829">
        <w:rPr>
          <w:rFonts w:ascii="Calibri" w:hAnsi="Calibri" w:cs="Arial"/>
          <w:sz w:val="20"/>
          <w:szCs w:val="20"/>
        </w:rPr>
        <w:t>whose average</w:t>
      </w:r>
      <w:r w:rsidR="00BC273C">
        <w:rPr>
          <w:rFonts w:ascii="Calibri" w:hAnsi="Calibri" w:cs="Arial"/>
          <w:sz w:val="20"/>
          <w:szCs w:val="20"/>
        </w:rPr>
        <w:t xml:space="preserve"> corresponds to </w:t>
      </w:r>
      <w:r w:rsidRPr="00C36D5E">
        <w:rPr>
          <w:rFonts w:ascii="Calibri" w:hAnsi="Calibri" w:cs="Arial"/>
          <w:sz w:val="20"/>
          <w:szCs w:val="20"/>
        </w:rPr>
        <w:t>the unrestricted LET</w:t>
      </w:r>
      <w:r w:rsidR="00BC273C">
        <w:rPr>
          <w:rFonts w:ascii="Calibri" w:hAnsi="Calibri" w:cs="Arial"/>
          <w:sz w:val="20"/>
          <w:szCs w:val="20"/>
        </w:rPr>
        <w:t>—</w:t>
      </w:r>
      <w:r w:rsidR="00DC3829">
        <w:rPr>
          <w:rFonts w:ascii="Calibri" w:hAnsi="Calibri" w:cs="Arial"/>
          <w:sz w:val="20"/>
          <w:szCs w:val="20"/>
        </w:rPr>
        <w:t>is represented</w:t>
      </w:r>
      <w:r>
        <w:rPr>
          <w:rFonts w:ascii="Calibri" w:hAnsi="Calibri" w:cs="Arial"/>
          <w:sz w:val="20"/>
          <w:szCs w:val="20"/>
        </w:rPr>
        <w:t xml:space="preserve"> </w:t>
      </w:r>
      <w:r w:rsidR="00DE54C0">
        <w:rPr>
          <w:rFonts w:ascii="Calibri" w:hAnsi="Calibri" w:cs="Arial"/>
          <w:sz w:val="20"/>
          <w:szCs w:val="20"/>
        </w:rPr>
        <w:t>as</w:t>
      </w:r>
      <w:r w:rsidR="00E4592C">
        <w:rPr>
          <w:rFonts w:ascii="Calibri" w:hAnsi="Calibri" w:cs="Arial"/>
          <w:sz w:val="20"/>
          <w:szCs w:val="20"/>
        </w:rPr>
        <w:t xml:space="preserve"> function of </w:t>
      </w:r>
      <w:r w:rsidRPr="00C36D5E">
        <w:rPr>
          <w:rFonts w:ascii="Calibri" w:hAnsi="Calibri" w:cs="Arial"/>
          <w:sz w:val="20"/>
          <w:szCs w:val="20"/>
        </w:rPr>
        <w:t xml:space="preserve">target </w:t>
      </w:r>
      <w:r w:rsidR="00E4592C">
        <w:rPr>
          <w:rFonts w:ascii="Calibri" w:hAnsi="Calibri" w:cs="Arial"/>
          <w:sz w:val="20"/>
          <w:szCs w:val="20"/>
        </w:rPr>
        <w:t>thickness</w:t>
      </w:r>
      <w:r w:rsidR="00ED5F1C">
        <w:rPr>
          <w:rFonts w:ascii="Calibri" w:hAnsi="Calibri" w:cs="Arial"/>
          <w:sz w:val="20"/>
          <w:szCs w:val="20"/>
        </w:rPr>
        <w:t xml:space="preserve">. </w:t>
      </w:r>
      <w:r w:rsidR="00BC4442" w:rsidRPr="0013735B">
        <w:rPr>
          <w:rFonts w:ascii="Calibri" w:hAnsi="Calibri" w:cs="Arial"/>
          <w:sz w:val="20"/>
          <w:szCs w:val="20"/>
        </w:rPr>
        <w:t xml:space="preserve"> </w:t>
      </w:r>
      <w:r w:rsidRPr="00C36D5E">
        <w:rPr>
          <w:rFonts w:ascii="Calibri" w:hAnsi="Calibri" w:cs="Arial"/>
          <w:sz w:val="20"/>
          <w:szCs w:val="20"/>
        </w:rPr>
        <w:t xml:space="preserve">As thickness increases, the distributions narrow, and around 1 mm, they converge to a </w:t>
      </w:r>
      <w:r w:rsidR="004B201E">
        <w:rPr>
          <w:rFonts w:ascii="Calibri" w:hAnsi="Calibri" w:cs="Arial"/>
          <w:sz w:val="20"/>
          <w:szCs w:val="20"/>
        </w:rPr>
        <w:t>unique</w:t>
      </w:r>
      <w:r w:rsidRPr="00C36D5E">
        <w:rPr>
          <w:rFonts w:ascii="Calibri" w:hAnsi="Calibri" w:cs="Arial"/>
          <w:sz w:val="20"/>
          <w:szCs w:val="20"/>
        </w:rPr>
        <w:t xml:space="preserve"> value,</w:t>
      </w:r>
      <w:r w:rsidR="00BC273C">
        <w:rPr>
          <w:rFonts w:ascii="Calibri" w:hAnsi="Calibri" w:cs="Arial"/>
          <w:sz w:val="20"/>
          <w:szCs w:val="20"/>
        </w:rPr>
        <w:t xml:space="preserve"> </w:t>
      </w:r>
      <w:r w:rsidRPr="00C36D5E">
        <w:rPr>
          <w:rFonts w:ascii="Calibri" w:hAnsi="Calibri" w:cs="Arial"/>
          <w:sz w:val="20"/>
          <w:szCs w:val="20"/>
        </w:rPr>
        <w:t>representing the unrestricted LET.</w:t>
      </w:r>
    </w:p>
    <w:p w14:paraId="2FF7DB7D" w14:textId="611ADB18" w:rsidR="00B64003" w:rsidRDefault="00C36D5E" w:rsidP="00DF5AD3">
      <w:pPr>
        <w:jc w:val="both"/>
        <w:rPr>
          <w:rFonts w:ascii="Calibri" w:hAnsi="Calibri" w:cs="Arial"/>
          <w:sz w:val="20"/>
          <w:szCs w:val="20"/>
        </w:rPr>
      </w:pPr>
      <w:r w:rsidRPr="00C36D5E">
        <w:rPr>
          <w:rFonts w:ascii="Calibri" w:hAnsi="Calibri" w:cs="Arial"/>
          <w:sz w:val="20"/>
          <w:szCs w:val="20"/>
        </w:rPr>
        <w:lastRenderedPageBreak/>
        <w:t xml:space="preserve"> </w:t>
      </w:r>
      <w:r w:rsidR="00B64003">
        <w:rPr>
          <w:rFonts w:ascii="Calibri" w:hAnsi="Calibri" w:cs="Arial"/>
          <w:noProof/>
          <w:sz w:val="20"/>
          <w:szCs w:val="20"/>
        </w:rPr>
        <w:drawing>
          <wp:inline distT="0" distB="0" distL="0" distR="0" wp14:anchorId="74CE394C" wp14:editId="27F3E1CC">
            <wp:extent cx="2476500" cy="4457073"/>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6042" b="3296"/>
                    <a:stretch/>
                  </pic:blipFill>
                  <pic:spPr bwMode="auto">
                    <a:xfrm>
                      <a:off x="0" y="0"/>
                      <a:ext cx="2477188" cy="4458312"/>
                    </a:xfrm>
                    <a:prstGeom prst="rect">
                      <a:avLst/>
                    </a:prstGeom>
                    <a:noFill/>
                    <a:ln>
                      <a:noFill/>
                    </a:ln>
                    <a:extLst>
                      <a:ext uri="{53640926-AAD7-44D8-BBD7-CCE9431645EC}">
                        <a14:shadowObscured xmlns:a14="http://schemas.microsoft.com/office/drawing/2010/main"/>
                      </a:ext>
                    </a:extLst>
                  </pic:spPr>
                </pic:pic>
              </a:graphicData>
            </a:graphic>
          </wp:inline>
        </w:drawing>
      </w:r>
    </w:p>
    <w:p w14:paraId="14AA3882" w14:textId="4CEB134A" w:rsidR="00B40481" w:rsidRDefault="00B64003" w:rsidP="00B64003">
      <w:pPr>
        <w:pStyle w:val="Normal1"/>
        <w:jc w:val="both"/>
        <w:rPr>
          <w:rFonts w:asciiTheme="minorHAnsi" w:hAnsiTheme="minorHAnsi" w:cstheme="minorHAnsi"/>
          <w:sz w:val="18"/>
          <w:szCs w:val="18"/>
        </w:rPr>
      </w:pPr>
      <w:r w:rsidRPr="00B64003">
        <w:rPr>
          <w:rFonts w:asciiTheme="minorHAnsi" w:hAnsiTheme="minorHAnsi" w:cstheme="minorHAnsi"/>
          <w:sz w:val="18"/>
          <w:szCs w:val="18"/>
        </w:rPr>
        <w:t xml:space="preserve">Figure </w:t>
      </w:r>
      <w:r w:rsidR="00CF1566">
        <w:rPr>
          <w:rFonts w:asciiTheme="minorHAnsi" w:hAnsiTheme="minorHAnsi" w:cstheme="minorHAnsi"/>
          <w:sz w:val="18"/>
          <w:szCs w:val="18"/>
        </w:rPr>
        <w:t>6</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w:t>
      </w:r>
      <w:r w:rsidRPr="00B64003">
        <w:rPr>
          <w:rFonts w:asciiTheme="minorHAnsi" w:hAnsiTheme="minorHAnsi" w:cstheme="minorHAnsi"/>
          <w:sz w:val="18"/>
          <w:szCs w:val="18"/>
        </w:rPr>
        <w:t xml:space="preserve">Illustration of the stochastic nature of energy loss </w:t>
      </w:r>
      <w:r w:rsidR="002776CA" w:rsidRPr="00B64003">
        <w:rPr>
          <w:rFonts w:asciiTheme="minorHAnsi" w:hAnsiTheme="minorHAnsi" w:cstheme="minorHAnsi"/>
          <w:sz w:val="18"/>
          <w:szCs w:val="18"/>
        </w:rPr>
        <w:t>by single</w:t>
      </w:r>
      <w:r w:rsidRPr="00B64003">
        <w:rPr>
          <w:rFonts w:asciiTheme="minorHAnsi" w:hAnsiTheme="minorHAnsi" w:cstheme="minorHAnsi"/>
          <w:sz w:val="18"/>
          <w:szCs w:val="18"/>
        </w:rPr>
        <w:t xml:space="preserve"> particle</w:t>
      </w:r>
      <w:r w:rsidR="002776CA">
        <w:rPr>
          <w:rFonts w:asciiTheme="minorHAnsi" w:hAnsiTheme="minorHAnsi" w:cstheme="minorHAnsi"/>
          <w:sz w:val="18"/>
          <w:szCs w:val="18"/>
        </w:rPr>
        <w:t>s</w:t>
      </w:r>
      <w:r w:rsidRPr="00B64003">
        <w:rPr>
          <w:rFonts w:asciiTheme="minorHAnsi" w:hAnsiTheme="minorHAnsi" w:cstheme="minorHAnsi"/>
          <w:sz w:val="18"/>
          <w:szCs w:val="18"/>
        </w:rPr>
        <w:t xml:space="preserve"> </w:t>
      </w:r>
      <w:r w:rsidR="002776CA">
        <w:rPr>
          <w:rFonts w:asciiTheme="minorHAnsi" w:hAnsiTheme="minorHAnsi" w:cstheme="minorHAnsi"/>
          <w:sz w:val="18"/>
          <w:szCs w:val="18"/>
        </w:rPr>
        <w:t xml:space="preserve">of identical energies </w:t>
      </w:r>
      <w:r w:rsidRPr="00B64003">
        <w:rPr>
          <w:rFonts w:asciiTheme="minorHAnsi" w:hAnsiTheme="minorHAnsi" w:cstheme="minorHAnsi"/>
          <w:sz w:val="18"/>
          <w:szCs w:val="18"/>
        </w:rPr>
        <w:t xml:space="preserve">traversing targets of varying mass. The density of lines </w:t>
      </w:r>
      <w:r w:rsidR="002776CA">
        <w:rPr>
          <w:rFonts w:asciiTheme="minorHAnsi" w:hAnsiTheme="minorHAnsi" w:cstheme="minorHAnsi"/>
          <w:sz w:val="18"/>
          <w:szCs w:val="18"/>
        </w:rPr>
        <w:t xml:space="preserve">provides a </w:t>
      </w:r>
      <w:r w:rsidRPr="00B64003">
        <w:rPr>
          <w:rFonts w:asciiTheme="minorHAnsi" w:hAnsiTheme="minorHAnsi" w:cstheme="minorHAnsi"/>
          <w:sz w:val="18"/>
          <w:szCs w:val="18"/>
        </w:rPr>
        <w:t>qualitative represent</w:t>
      </w:r>
      <w:r w:rsidR="002776CA">
        <w:rPr>
          <w:rFonts w:asciiTheme="minorHAnsi" w:hAnsiTheme="minorHAnsi" w:cstheme="minorHAnsi"/>
          <w:sz w:val="18"/>
          <w:szCs w:val="18"/>
        </w:rPr>
        <w:t xml:space="preserve">ation of the </w:t>
      </w:r>
      <w:r w:rsidR="00870779">
        <w:rPr>
          <w:rFonts w:asciiTheme="minorHAnsi" w:hAnsiTheme="minorHAnsi" w:cstheme="minorHAnsi"/>
          <w:sz w:val="18"/>
          <w:szCs w:val="18"/>
        </w:rPr>
        <w:t xml:space="preserve">probability of events </w:t>
      </w:r>
      <w:r w:rsidRPr="00B64003">
        <w:rPr>
          <w:rFonts w:asciiTheme="minorHAnsi" w:hAnsiTheme="minorHAnsi" w:cstheme="minorHAnsi"/>
          <w:sz w:val="18"/>
          <w:szCs w:val="18"/>
        </w:rPr>
        <w:t>of energy loss per unit mass</w:t>
      </w:r>
      <w:r w:rsidR="00870779" w:rsidRPr="00870779">
        <w:rPr>
          <w:rFonts w:asciiTheme="minorHAnsi" w:hAnsiTheme="minorHAnsi" w:cstheme="minorHAnsi"/>
          <w:sz w:val="18"/>
          <w:szCs w:val="18"/>
        </w:rPr>
        <w:t xml:space="preserve"> </w:t>
      </w:r>
      <w:r w:rsidR="00870779">
        <w:rPr>
          <w:rFonts w:asciiTheme="minorHAnsi" w:hAnsiTheme="minorHAnsi" w:cstheme="minorHAnsi"/>
          <w:sz w:val="18"/>
          <w:szCs w:val="18"/>
        </w:rPr>
        <w:t>and then, an indirect indication of the distribution spread</w:t>
      </w:r>
      <w:r w:rsidRPr="00B64003">
        <w:rPr>
          <w:rFonts w:asciiTheme="minorHAnsi" w:hAnsiTheme="minorHAnsi" w:cstheme="minorHAnsi"/>
          <w:sz w:val="18"/>
          <w:szCs w:val="18"/>
        </w:rPr>
        <w:t xml:space="preserve">. As the target mass increases from left to right, the distribution narrows, indicating reduced variability and convergence toward a nearly constant </w:t>
      </w:r>
      <w:r>
        <w:rPr>
          <w:rFonts w:asciiTheme="minorHAnsi" w:hAnsiTheme="minorHAnsi" w:cstheme="minorHAnsi"/>
          <w:sz w:val="18"/>
          <w:szCs w:val="18"/>
        </w:rPr>
        <w:t>value of energy per unit of mass</w:t>
      </w:r>
      <w:r w:rsidRPr="00B64003">
        <w:rPr>
          <w:rFonts w:asciiTheme="minorHAnsi" w:hAnsiTheme="minorHAnsi" w:cstheme="minorHAnsi"/>
          <w:sz w:val="18"/>
          <w:szCs w:val="18"/>
        </w:rPr>
        <w:t>.</w:t>
      </w:r>
      <w:r w:rsidR="00B40481">
        <w:rPr>
          <w:rFonts w:asciiTheme="minorHAnsi" w:hAnsiTheme="minorHAnsi" w:cstheme="minorHAnsi"/>
          <w:sz w:val="18"/>
          <w:szCs w:val="18"/>
        </w:rPr>
        <w:t xml:space="preserve"> The figure is inspired by Rossi’s illustration [Rossi 1968] often used to illustrate the stochastic nature of energy deposition in targets of different masses. </w:t>
      </w:r>
    </w:p>
    <w:p w14:paraId="4C915226" w14:textId="07CC3EF7" w:rsidR="004232C6" w:rsidRDefault="004232C6">
      <w:pPr>
        <w:rPr>
          <w:rFonts w:cstheme="minorHAnsi"/>
          <w:color w:val="00B050"/>
          <w:sz w:val="18"/>
          <w:szCs w:val="18"/>
          <w:shd w:val="clear" w:color="auto" w:fill="FFFFFF"/>
        </w:rPr>
      </w:pPr>
      <w:r>
        <w:rPr>
          <w:rFonts w:cstheme="minorHAnsi"/>
          <w:color w:val="00B050"/>
          <w:sz w:val="18"/>
          <w:szCs w:val="18"/>
        </w:rPr>
        <w:br w:type="page"/>
      </w:r>
    </w:p>
    <w:p w14:paraId="03BAE040" w14:textId="343520A0" w:rsidR="00DF5AD3" w:rsidRDefault="00DF5AD3">
      <w:pPr>
        <w:rPr>
          <w:rFonts w:ascii="Calibri" w:hAnsi="Calibri" w:cs="Arial"/>
          <w:color w:val="FF0000"/>
          <w:sz w:val="20"/>
          <w:szCs w:val="20"/>
        </w:rPr>
      </w:pPr>
    </w:p>
    <w:p w14:paraId="0A2739E5" w14:textId="77777777" w:rsidR="004232C6" w:rsidRDefault="004232C6" w:rsidP="00DF5AD3">
      <w:pPr>
        <w:pStyle w:val="Normal1"/>
        <w:jc w:val="both"/>
        <w:rPr>
          <w:rFonts w:ascii="Source Sans Pro" w:hAnsi="Source Sans Pro"/>
          <w:color w:val="2A2A2A"/>
          <w:sz w:val="16"/>
          <w:szCs w:val="16"/>
        </w:rPr>
        <w:sectPr w:rsidR="004232C6" w:rsidSect="00C856F0">
          <w:type w:val="continuous"/>
          <w:pgSz w:w="11906" w:h="16838" w:code="9"/>
          <w:pgMar w:top="1440" w:right="1440" w:bottom="1440" w:left="1440" w:header="720" w:footer="720" w:gutter="0"/>
          <w:cols w:num="2" w:space="720"/>
          <w:docGrid w:linePitch="360"/>
        </w:sectPr>
      </w:pPr>
    </w:p>
    <w:p w14:paraId="43FB4288" w14:textId="20EB9E5E" w:rsidR="00323081" w:rsidRDefault="00323081" w:rsidP="00DF5AD3">
      <w:pPr>
        <w:pStyle w:val="Normal1"/>
        <w:jc w:val="both"/>
        <w:rPr>
          <w:rFonts w:ascii="Source Sans Pro" w:hAnsi="Source Sans Pro"/>
          <w:color w:val="2A2A2A"/>
          <w:sz w:val="16"/>
          <w:szCs w:val="16"/>
        </w:rPr>
      </w:pPr>
    </w:p>
    <w:p w14:paraId="2C2FB06B" w14:textId="7A0D1E0A" w:rsidR="00323081" w:rsidRDefault="00323081" w:rsidP="00323081">
      <w:pPr>
        <w:keepNext/>
        <w:keepLines/>
        <w:numPr>
          <w:ilvl w:val="0"/>
          <w:numId w:val="1"/>
        </w:numPr>
        <w:spacing w:before="40" w:after="0"/>
        <w:jc w:val="both"/>
        <w:outlineLvl w:val="1"/>
        <w:rPr>
          <w:rFonts w:ascii="Source Sans Pro" w:hAnsi="Source Sans Pro"/>
          <w:b/>
          <w:bCs/>
          <w:color w:val="2A2A2A"/>
          <w:sz w:val="16"/>
          <w:szCs w:val="16"/>
        </w:rPr>
      </w:pPr>
      <w:r w:rsidRPr="004232C6">
        <w:rPr>
          <w:rFonts w:ascii="Source Sans Pro" w:hAnsi="Source Sans Pro"/>
          <w:b/>
          <w:bCs/>
          <w:color w:val="2A2A2A"/>
          <w:sz w:val="16"/>
          <w:szCs w:val="16"/>
        </w:rPr>
        <w:t>References</w:t>
      </w:r>
    </w:p>
    <w:p w14:paraId="24776EC5" w14:textId="0E1C06BD" w:rsidR="00D7570C" w:rsidRPr="004B201E" w:rsidRDefault="00D7570C"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 xml:space="preserve">[Brenner 1998] </w:t>
      </w:r>
      <w:r w:rsidRPr="00D7570C">
        <w:rPr>
          <w:rFonts w:ascii="Source Sans Pro" w:hAnsi="Source Sans Pro"/>
          <w:color w:val="2A2A2A"/>
          <w:sz w:val="16"/>
          <w:szCs w:val="16"/>
        </w:rPr>
        <w:t>Brenner DJ, Zaider M.</w:t>
      </w:r>
      <w:r w:rsidR="000111A3">
        <w:rPr>
          <w:rFonts w:ascii="Source Sans Pro" w:hAnsi="Source Sans Pro"/>
          <w:color w:val="2A2A2A"/>
          <w:sz w:val="16"/>
          <w:szCs w:val="16"/>
        </w:rPr>
        <w:t xml:space="preserve">, </w:t>
      </w:r>
      <w:r w:rsidRPr="00D7570C">
        <w:rPr>
          <w:rFonts w:ascii="Source Sans Pro" w:hAnsi="Source Sans Pro"/>
          <w:color w:val="2A2A2A"/>
          <w:sz w:val="16"/>
          <w:szCs w:val="16"/>
        </w:rPr>
        <w:t xml:space="preserve"> Letters to the editor</w:t>
      </w:r>
      <w:r>
        <w:rPr>
          <w:rFonts w:ascii="Source Sans Pro" w:hAnsi="Source Sans Pro"/>
          <w:color w:val="2A2A2A"/>
          <w:sz w:val="16"/>
          <w:szCs w:val="16"/>
        </w:rPr>
        <w:t xml:space="preserve">: </w:t>
      </w:r>
      <w:r w:rsidRPr="00D7570C">
        <w:rPr>
          <w:rFonts w:ascii="Source Sans Pro" w:hAnsi="Source Sans Pro"/>
          <w:color w:val="2A2A2A"/>
          <w:sz w:val="16"/>
          <w:szCs w:val="16"/>
        </w:rPr>
        <w:t>Estimating RBEs at clinical doses from microdosimetric spectra. Medical Physics. 1998;</w:t>
      </w:r>
      <w:r w:rsidR="000111A3">
        <w:rPr>
          <w:rFonts w:ascii="Source Sans Pro" w:hAnsi="Source Sans Pro"/>
          <w:color w:val="2A2A2A"/>
          <w:sz w:val="16"/>
          <w:szCs w:val="16"/>
        </w:rPr>
        <w:t xml:space="preserve"> </w:t>
      </w:r>
      <w:r w:rsidRPr="00D7570C">
        <w:rPr>
          <w:rFonts w:ascii="Source Sans Pro" w:hAnsi="Source Sans Pro"/>
          <w:color w:val="2A2A2A"/>
          <w:sz w:val="16"/>
          <w:szCs w:val="16"/>
        </w:rPr>
        <w:t>25(6):1055-7.</w:t>
      </w:r>
      <w:r w:rsidR="000111A3" w:rsidRPr="004B201E">
        <w:rPr>
          <w:rFonts w:ascii="Source Sans Pro" w:hAnsi="Source Sans Pro"/>
          <w:color w:val="2A2A2A"/>
          <w:sz w:val="16"/>
          <w:szCs w:val="16"/>
        </w:rPr>
        <w:t xml:space="preserve"> </w:t>
      </w:r>
    </w:p>
    <w:p w14:paraId="643B302A" w14:textId="60B17F48" w:rsidR="004B201E" w:rsidRPr="004B201E" w:rsidRDefault="004B201E"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4B201E">
        <w:rPr>
          <w:rFonts w:ascii="Source Sans Pro" w:hAnsi="Source Sans Pro"/>
          <w:color w:val="2A2A2A"/>
          <w:sz w:val="16"/>
          <w:szCs w:val="16"/>
        </w:rPr>
        <w:t>Fredriksson</w:t>
      </w:r>
      <w:r>
        <w:rPr>
          <w:rFonts w:ascii="Source Sans Pro" w:hAnsi="Source Sans Pro"/>
          <w:color w:val="2A2A2A"/>
          <w:sz w:val="16"/>
          <w:szCs w:val="16"/>
        </w:rPr>
        <w:t xml:space="preserve"> 2023] </w:t>
      </w:r>
      <w:r w:rsidRPr="004B201E">
        <w:rPr>
          <w:rFonts w:ascii="Source Sans Pro" w:hAnsi="Source Sans Pro"/>
          <w:color w:val="2A2A2A"/>
          <w:sz w:val="16"/>
          <w:szCs w:val="16"/>
        </w:rPr>
        <w:t>Fredriksson A, Glimelius L, Bokrantz R. The LET trilemma: conflicts between robust target coverage, uniform dose, and dose</w:t>
      </w:r>
      <w:r w:rsidRPr="004B201E">
        <w:rPr>
          <w:rFonts w:ascii="Cambria Math" w:hAnsi="Cambria Math" w:cs="Cambria Math"/>
          <w:color w:val="2A2A2A"/>
          <w:sz w:val="16"/>
          <w:szCs w:val="16"/>
        </w:rPr>
        <w:t>‐</w:t>
      </w:r>
      <w:r w:rsidRPr="004B201E">
        <w:rPr>
          <w:rFonts w:ascii="Source Sans Pro" w:hAnsi="Source Sans Pro"/>
          <w:color w:val="2A2A2A"/>
          <w:sz w:val="16"/>
          <w:szCs w:val="16"/>
        </w:rPr>
        <w:t>averaged LET in carbon therapy. Medical Physics. 2023 Dec;50(12):7338-48.</w:t>
      </w:r>
    </w:p>
    <w:p w14:paraId="4BA8AEF3" w14:textId="146E9F50" w:rsidR="005B34E6" w:rsidRDefault="005B34E6" w:rsidP="004232C6">
      <w:pPr>
        <w:keepNext/>
        <w:keepLines/>
        <w:spacing w:before="40" w:after="120"/>
        <w:jc w:val="both"/>
        <w:outlineLvl w:val="1"/>
        <w:rPr>
          <w:rFonts w:ascii="Source Sans Pro" w:hAnsi="Source Sans Pro"/>
          <w:color w:val="2A2A2A"/>
          <w:sz w:val="16"/>
          <w:szCs w:val="16"/>
        </w:rPr>
      </w:pPr>
      <w:r w:rsidRPr="00412F4B">
        <w:rPr>
          <w:rFonts w:ascii="Source Sans Pro" w:hAnsi="Source Sans Pro"/>
          <w:color w:val="2A2A2A"/>
          <w:sz w:val="16"/>
          <w:szCs w:val="16"/>
        </w:rPr>
        <w:t>[Inaniwa 2</w:t>
      </w:r>
      <w:r>
        <w:rPr>
          <w:rFonts w:ascii="Source Sans Pro" w:hAnsi="Source Sans Pro"/>
          <w:color w:val="2A2A2A"/>
          <w:sz w:val="16"/>
          <w:szCs w:val="16"/>
        </w:rPr>
        <w:t>010</w:t>
      </w:r>
      <w:r w:rsidRPr="00412F4B">
        <w:rPr>
          <w:rFonts w:ascii="Source Sans Pro" w:hAnsi="Source Sans Pro"/>
          <w:color w:val="2A2A2A"/>
          <w:sz w:val="16"/>
          <w:szCs w:val="16"/>
        </w:rPr>
        <w:t>] Inaniwa T, Furukawa T, Kase Y, Matsufuji N, Toshito T, Matsumoto Y, et al.</w:t>
      </w:r>
      <w:r>
        <w:rPr>
          <w:rFonts w:ascii="Source Sans Pro" w:hAnsi="Source Sans Pro"/>
          <w:color w:val="2A2A2A"/>
          <w:sz w:val="16"/>
          <w:szCs w:val="16"/>
        </w:rPr>
        <w:t xml:space="preserve">, </w:t>
      </w:r>
      <w:r w:rsidRPr="00412F4B">
        <w:rPr>
          <w:rFonts w:ascii="Source Sans Pro" w:hAnsi="Source Sans Pro"/>
          <w:color w:val="2A2A2A"/>
          <w:sz w:val="16"/>
          <w:szCs w:val="16"/>
        </w:rPr>
        <w:t>Treatment planning for a scanned carbon beam with a modified</w:t>
      </w:r>
      <w:r>
        <w:rPr>
          <w:rFonts w:ascii="Source Sans Pro" w:hAnsi="Source Sans Pro"/>
          <w:color w:val="2A2A2A"/>
          <w:sz w:val="16"/>
          <w:szCs w:val="16"/>
        </w:rPr>
        <w:t xml:space="preserve"> </w:t>
      </w:r>
      <w:r w:rsidRPr="00412F4B">
        <w:rPr>
          <w:rFonts w:ascii="Source Sans Pro" w:hAnsi="Source Sans Pro"/>
          <w:color w:val="2A2A2A"/>
          <w:sz w:val="16"/>
          <w:szCs w:val="16"/>
        </w:rPr>
        <w:t xml:space="preserve">microdosimetric kinetic model. Phys Med Biol 2010;55:6721–37. </w:t>
      </w:r>
      <w:hyperlink r:id="rId14" w:history="1">
        <w:r w:rsidRPr="00601257">
          <w:rPr>
            <w:rStyle w:val="Hyperlink"/>
            <w:rFonts w:ascii="Source Sans Pro" w:hAnsi="Source Sans Pro"/>
            <w:sz w:val="16"/>
            <w:szCs w:val="16"/>
          </w:rPr>
          <w:t>https://doi.org/10.1088/0031-9155/55/22/008</w:t>
        </w:r>
      </w:hyperlink>
    </w:p>
    <w:p w14:paraId="6FC46FB4" w14:textId="35235C4A" w:rsidR="00DA3298" w:rsidRDefault="00DA3298" w:rsidP="004232C6">
      <w:pPr>
        <w:keepNext/>
        <w:keepLines/>
        <w:spacing w:before="40" w:after="120"/>
        <w:jc w:val="both"/>
        <w:outlineLvl w:val="1"/>
        <w:rPr>
          <w:rFonts w:ascii="Source Sans Pro" w:hAnsi="Source Sans Pro"/>
          <w:color w:val="2A2A2A"/>
          <w:sz w:val="16"/>
          <w:szCs w:val="16"/>
        </w:rPr>
      </w:pPr>
      <w:r w:rsidRPr="004232C6">
        <w:rPr>
          <w:rFonts w:ascii="Source Sans Pro" w:hAnsi="Source Sans Pro"/>
          <w:color w:val="2A2A2A"/>
          <w:sz w:val="16"/>
          <w:szCs w:val="16"/>
        </w:rPr>
        <w:t xml:space="preserve">[Hagiwara 2019] Hagiwara Y, Bhattacharyya T, Matsufuji N, et al. </w:t>
      </w:r>
      <w:r w:rsidRPr="00DA3298">
        <w:rPr>
          <w:rFonts w:ascii="Source Sans Pro" w:hAnsi="Source Sans Pro"/>
          <w:color w:val="2A2A2A"/>
          <w:sz w:val="16"/>
          <w:szCs w:val="16"/>
        </w:rPr>
        <w:t xml:space="preserve">Influence of dose-averaged linear energy transfer on tumour control after carbon-ion radiation therapy for pancreatic cancer. Clin Transl Radiat Oncol 2019;21:19–24. </w:t>
      </w:r>
      <w:hyperlink r:id="rId15" w:history="1">
        <w:r w:rsidRPr="00C671D6">
          <w:rPr>
            <w:rStyle w:val="Hyperlink"/>
            <w:rFonts w:ascii="Source Sans Pro" w:hAnsi="Source Sans Pro"/>
            <w:sz w:val="16"/>
            <w:szCs w:val="16"/>
          </w:rPr>
          <w:t>https://doi.org/10.1016/j.ctro.2019.11.002</w:t>
        </w:r>
      </w:hyperlink>
      <w:r w:rsidRPr="00DA3298">
        <w:rPr>
          <w:rFonts w:ascii="Source Sans Pro" w:hAnsi="Source Sans Pro"/>
          <w:color w:val="2A2A2A"/>
          <w:sz w:val="16"/>
          <w:szCs w:val="16"/>
        </w:rPr>
        <w:t>.</w:t>
      </w:r>
    </w:p>
    <w:p w14:paraId="6F38C86C" w14:textId="14C2B20D" w:rsidR="005B34E6" w:rsidRPr="00412F4B" w:rsidRDefault="005B34E6"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5B34E6">
        <w:rPr>
          <w:rFonts w:ascii="Source Sans Pro" w:hAnsi="Source Sans Pro"/>
          <w:color w:val="2A2A2A"/>
          <w:sz w:val="16"/>
          <w:szCs w:val="16"/>
        </w:rPr>
        <w:t>Hawkins</w:t>
      </w:r>
      <w:r>
        <w:rPr>
          <w:rFonts w:ascii="Source Sans Pro" w:hAnsi="Source Sans Pro"/>
          <w:color w:val="2A2A2A"/>
          <w:sz w:val="16"/>
          <w:szCs w:val="16"/>
        </w:rPr>
        <w:t xml:space="preserve"> 1994</w:t>
      </w:r>
      <w:r w:rsidRPr="005B34E6">
        <w:rPr>
          <w:rFonts w:ascii="Source Sans Pro" w:hAnsi="Source Sans Pro"/>
          <w:color w:val="2A2A2A"/>
          <w:sz w:val="16"/>
          <w:szCs w:val="16"/>
        </w:rPr>
        <w:t>] Hawkins R. A statistical theory of cell killing by radiation of varying linear</w:t>
      </w:r>
      <w:r>
        <w:rPr>
          <w:rFonts w:ascii="Source Sans Pro" w:hAnsi="Source Sans Pro"/>
          <w:color w:val="2A2A2A"/>
          <w:sz w:val="16"/>
          <w:szCs w:val="16"/>
        </w:rPr>
        <w:t xml:space="preserve"> </w:t>
      </w:r>
      <w:r w:rsidRPr="005B34E6">
        <w:rPr>
          <w:rFonts w:ascii="Source Sans Pro" w:hAnsi="Source Sans Pro"/>
          <w:color w:val="2A2A2A"/>
          <w:sz w:val="16"/>
          <w:szCs w:val="16"/>
        </w:rPr>
        <w:t>energy transfer. Radiat Res 1994;140:366–74. https://doi.org/10.2307/3579114.</w:t>
      </w:r>
    </w:p>
    <w:p w14:paraId="61B66E3A" w14:textId="00CD5648" w:rsidR="00D7570C" w:rsidRDefault="00D7570C" w:rsidP="004232C6">
      <w:pPr>
        <w:keepNext/>
        <w:keepLines/>
        <w:spacing w:before="40" w:after="120"/>
        <w:jc w:val="both"/>
        <w:outlineLvl w:val="1"/>
        <w:rPr>
          <w:rFonts w:ascii="Source Sans Pro" w:hAnsi="Source Sans Pro"/>
          <w:color w:val="2A2A2A"/>
          <w:sz w:val="16"/>
          <w:szCs w:val="16"/>
        </w:rPr>
      </w:pPr>
      <w:r w:rsidRPr="00E80D47">
        <w:rPr>
          <w:rFonts w:ascii="Source Sans Pro" w:hAnsi="Source Sans Pro"/>
          <w:color w:val="2A2A2A"/>
          <w:sz w:val="16"/>
          <w:szCs w:val="16"/>
        </w:rPr>
        <w:t xml:space="preserve">[Kellerer 1972] Kellerer AM. </w:t>
      </w:r>
      <w:r w:rsidRPr="00D7570C">
        <w:rPr>
          <w:rFonts w:ascii="Source Sans Pro" w:hAnsi="Source Sans Pro"/>
          <w:color w:val="2A2A2A"/>
          <w:sz w:val="16"/>
          <w:szCs w:val="16"/>
        </w:rPr>
        <w:t>An algorithm for LET-analysis. Physics in Medicine &amp; Biology. 1972 Mar 1;17(2):232.</w:t>
      </w:r>
    </w:p>
    <w:p w14:paraId="3CCF88A4" w14:textId="3730CA36" w:rsidR="00E36F05" w:rsidRDefault="00E36F05"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[Kellerer 1985] Kellerer A</w:t>
      </w:r>
      <w:r w:rsidR="00D7570C">
        <w:rPr>
          <w:rFonts w:ascii="Source Sans Pro" w:hAnsi="Source Sans Pro"/>
          <w:color w:val="2A2A2A"/>
          <w:sz w:val="16"/>
          <w:szCs w:val="16"/>
        </w:rPr>
        <w:t>M</w:t>
      </w:r>
      <w:r>
        <w:rPr>
          <w:rFonts w:ascii="Source Sans Pro" w:hAnsi="Source Sans Pro"/>
          <w:color w:val="2A2A2A"/>
          <w:sz w:val="16"/>
          <w:szCs w:val="16"/>
        </w:rPr>
        <w:t>, Fundamentals of microdosimetry, Chapter in ‘</w:t>
      </w:r>
      <w:r w:rsidRPr="00E36F05">
        <w:rPr>
          <w:rFonts w:ascii="Source Sans Pro" w:hAnsi="Source Sans Pro"/>
          <w:color w:val="2A2A2A"/>
          <w:sz w:val="16"/>
          <w:szCs w:val="16"/>
        </w:rPr>
        <w:t>The dosimetry of ionizing radiation: Volume I</w:t>
      </w:r>
      <w:r>
        <w:rPr>
          <w:rFonts w:ascii="Source Sans Pro" w:hAnsi="Source Sans Pro"/>
          <w:color w:val="2A2A2A"/>
          <w:sz w:val="16"/>
          <w:szCs w:val="16"/>
        </w:rPr>
        <w:t>’,</w:t>
      </w:r>
      <w:r w:rsidRPr="00E36F05">
        <w:rPr>
          <w:rFonts w:ascii="Source Sans Pro" w:hAnsi="Source Sans Pro"/>
          <w:color w:val="2A2A2A"/>
          <w:sz w:val="16"/>
          <w:szCs w:val="16"/>
        </w:rPr>
        <w:t xml:space="preserve"> Kase</w:t>
      </w:r>
      <w:r>
        <w:rPr>
          <w:rFonts w:ascii="Source Sans Pro" w:hAnsi="Source Sans Pro"/>
          <w:color w:val="2A2A2A"/>
          <w:sz w:val="16"/>
          <w:szCs w:val="16"/>
        </w:rPr>
        <w:t xml:space="preserve"> </w:t>
      </w:r>
      <w:r w:rsidRPr="00E36F05">
        <w:rPr>
          <w:rFonts w:ascii="Source Sans Pro" w:hAnsi="Source Sans Pro"/>
          <w:color w:val="2A2A2A"/>
          <w:sz w:val="16"/>
          <w:szCs w:val="16"/>
        </w:rPr>
        <w:t>KR, Bjärngard</w:t>
      </w:r>
      <w:r>
        <w:rPr>
          <w:rFonts w:ascii="Source Sans Pro" w:hAnsi="Source Sans Pro"/>
          <w:color w:val="2A2A2A"/>
          <w:sz w:val="16"/>
          <w:szCs w:val="16"/>
        </w:rPr>
        <w:t xml:space="preserve"> </w:t>
      </w:r>
      <w:r w:rsidRPr="00E36F05">
        <w:rPr>
          <w:rFonts w:ascii="Source Sans Pro" w:hAnsi="Source Sans Pro"/>
          <w:color w:val="2A2A2A"/>
          <w:sz w:val="16"/>
          <w:szCs w:val="16"/>
        </w:rPr>
        <w:t>BE, Attix FH</w:t>
      </w:r>
      <w:r>
        <w:rPr>
          <w:rFonts w:ascii="Source Sans Pro" w:hAnsi="Source Sans Pro"/>
          <w:color w:val="2A2A2A"/>
          <w:sz w:val="16"/>
          <w:szCs w:val="16"/>
        </w:rPr>
        <w:t xml:space="preserve"> E</w:t>
      </w:r>
      <w:r w:rsidRPr="00E36F05">
        <w:rPr>
          <w:rFonts w:ascii="Source Sans Pro" w:hAnsi="Source Sans Pro"/>
          <w:color w:val="2A2A2A"/>
          <w:sz w:val="16"/>
          <w:szCs w:val="16"/>
        </w:rPr>
        <w:t>ditor</w:t>
      </w:r>
      <w:r>
        <w:rPr>
          <w:rFonts w:ascii="Source Sans Pro" w:hAnsi="Source Sans Pro"/>
          <w:color w:val="2A2A2A"/>
          <w:sz w:val="16"/>
          <w:szCs w:val="16"/>
        </w:rPr>
        <w:t>s, A</w:t>
      </w:r>
      <w:r w:rsidRPr="00E36F05">
        <w:rPr>
          <w:rFonts w:ascii="Source Sans Pro" w:hAnsi="Source Sans Pro"/>
          <w:color w:val="2A2A2A"/>
          <w:sz w:val="16"/>
          <w:szCs w:val="16"/>
        </w:rPr>
        <w:t>cademic Press, Inc.</w:t>
      </w:r>
      <w:r>
        <w:rPr>
          <w:rFonts w:ascii="Source Sans Pro" w:hAnsi="Source Sans Pro"/>
          <w:color w:val="2A2A2A"/>
          <w:sz w:val="16"/>
          <w:szCs w:val="16"/>
        </w:rPr>
        <w:t xml:space="preserve"> </w:t>
      </w:r>
      <w:r w:rsidRPr="00E36F05">
        <w:rPr>
          <w:rFonts w:ascii="Source Sans Pro" w:hAnsi="Source Sans Pro"/>
          <w:color w:val="2A2A2A"/>
          <w:sz w:val="16"/>
          <w:szCs w:val="16"/>
        </w:rPr>
        <w:t>Harcourt Brace Jovanovich, Publishers</w:t>
      </w:r>
      <w:r>
        <w:rPr>
          <w:rFonts w:ascii="Source Sans Pro" w:hAnsi="Source Sans Pro"/>
          <w:color w:val="2A2A2A"/>
          <w:sz w:val="16"/>
          <w:szCs w:val="16"/>
        </w:rPr>
        <w:t>, 1985</w:t>
      </w:r>
    </w:p>
    <w:p w14:paraId="7A301087" w14:textId="18CF3AD9" w:rsidR="00446AEF" w:rsidRPr="00446AEF" w:rsidRDefault="00B40481" w:rsidP="004232C6">
      <w:pPr>
        <w:pStyle w:val="Normal1"/>
        <w:spacing w:after="120"/>
        <w:jc w:val="both"/>
        <w:rPr>
          <w:rFonts w:ascii="Source Sans Pro" w:hAnsi="Source Sans Pro"/>
          <w:color w:val="0563C1" w:themeColor="hyperlink"/>
          <w:sz w:val="16"/>
          <w:szCs w:val="16"/>
          <w:u w:val="single"/>
          <w:bdr w:val="none" w:sz="0" w:space="0" w:color="auto" w:frame="1"/>
        </w:rPr>
      </w:pPr>
      <w:r>
        <w:rPr>
          <w:rFonts w:ascii="Source Sans Pro" w:hAnsi="Source Sans Pro"/>
          <w:color w:val="2A2A2A"/>
          <w:sz w:val="16"/>
          <w:szCs w:val="16"/>
        </w:rPr>
        <w:t xml:space="preserve">[Loncol 1994] </w:t>
      </w:r>
      <w:r w:rsidR="00323081" w:rsidRPr="00323081">
        <w:rPr>
          <w:rFonts w:ascii="Source Sans Pro" w:hAnsi="Source Sans Pro"/>
          <w:color w:val="2A2A2A"/>
          <w:sz w:val="16"/>
          <w:szCs w:val="16"/>
        </w:rPr>
        <w:t>Loncol T, Cosgrove V, Denis JM, Gueulette J, Mazal A, Menzel HG, Pihet P, Sabattier R. Radiobiological effectiveness of radiation beams with broad LET spectra: microdosimetric analysis using biological weighting functions. Radiation Protection Dosimetry. 1994 Apr 1;52(1-4):347-52.</w:t>
      </w:r>
      <w:r w:rsidRPr="00B40481">
        <w:rPr>
          <w:rFonts w:ascii="Source Sans Pro" w:hAnsi="Source Sans Pro"/>
          <w:color w:val="2A2A2A"/>
          <w:sz w:val="16"/>
          <w:szCs w:val="16"/>
        </w:rPr>
        <w:t>, </w:t>
      </w:r>
      <w:hyperlink r:id="rId16" w:history="1">
        <w:r w:rsidRPr="00D139BE">
          <w:rPr>
            <w:rStyle w:val="Hyperlink"/>
            <w:rFonts w:ascii="Source Sans Pro" w:hAnsi="Source Sans Pro"/>
            <w:sz w:val="16"/>
            <w:szCs w:val="16"/>
            <w:bdr w:val="none" w:sz="0" w:space="0" w:color="auto" w:frame="1"/>
          </w:rPr>
          <w:t>https://doi.org/10.1093/oxfordjournals.rpd.a082212</w:t>
        </w:r>
      </w:hyperlink>
    </w:p>
    <w:p w14:paraId="71BDEEF4" w14:textId="5EBB610D" w:rsidR="00446AEF" w:rsidRDefault="00446AEF"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 xml:space="preserve">[Magrin 2018] </w:t>
      </w:r>
      <w:r w:rsidRPr="00446AEF">
        <w:rPr>
          <w:rFonts w:ascii="Source Sans Pro" w:hAnsi="Source Sans Pro"/>
          <w:sz w:val="16"/>
          <w:szCs w:val="16"/>
          <w:bdr w:val="none" w:sz="0" w:space="0" w:color="auto" w:frame="1"/>
        </w:rPr>
        <w:t>Magrin G. A method to convert spectra from slab microdosimeters in therapeutic ion-beams to the spectra referring to microdosimeters of different shapes and material. Physics in Medicine &amp; Biology. 2018 Oct 29;63(21):215021.</w:t>
      </w:r>
    </w:p>
    <w:p w14:paraId="1E4F71AA" w14:textId="77777777" w:rsidR="004232C6" w:rsidRDefault="004232C6" w:rsidP="004232C6">
      <w:pPr>
        <w:keepNext/>
        <w:keepLines/>
        <w:spacing w:before="40" w:after="120"/>
        <w:jc w:val="both"/>
        <w:outlineLvl w:val="1"/>
        <w:rPr>
          <w:rFonts w:ascii="Source Sans Pro" w:hAnsi="Source Sans Pro"/>
          <w:color w:val="2A2A2A"/>
          <w:sz w:val="16"/>
          <w:szCs w:val="16"/>
          <w:lang w:val="it-IT"/>
        </w:rPr>
      </w:pPr>
      <w:r w:rsidRPr="00DA3298">
        <w:rPr>
          <w:rFonts w:ascii="Source Sans Pro" w:hAnsi="Source Sans Pro"/>
          <w:color w:val="2A2A2A"/>
          <w:sz w:val="16"/>
          <w:szCs w:val="16"/>
        </w:rPr>
        <w:t xml:space="preserve">[Matsumoto </w:t>
      </w:r>
      <w:r>
        <w:rPr>
          <w:rFonts w:ascii="Source Sans Pro" w:hAnsi="Source Sans Pro"/>
          <w:color w:val="2A2A2A"/>
          <w:sz w:val="16"/>
          <w:szCs w:val="16"/>
        </w:rPr>
        <w:t>2020</w:t>
      </w:r>
      <w:r w:rsidRPr="00DA3298">
        <w:rPr>
          <w:rFonts w:ascii="Source Sans Pro" w:hAnsi="Source Sans Pro"/>
          <w:color w:val="2A2A2A"/>
          <w:sz w:val="16"/>
          <w:szCs w:val="16"/>
        </w:rPr>
        <w:t xml:space="preserve">] Matsumoto S, Lee SH, Imai R, et al. Unresectable chondrosarcomas treated with carbon ion radiotherapy: relationship between dose-averaged linear energy transfer and local recurrence. </w:t>
      </w:r>
      <w:r w:rsidRPr="00E80D47">
        <w:rPr>
          <w:rFonts w:ascii="Source Sans Pro" w:hAnsi="Source Sans Pro"/>
          <w:color w:val="2A2A2A"/>
          <w:sz w:val="16"/>
          <w:szCs w:val="16"/>
        </w:rPr>
        <w:t xml:space="preserve">Anticancer Res 2020;40:6429–35. </w:t>
      </w:r>
      <w:hyperlink r:id="rId17" w:history="1">
        <w:r w:rsidRPr="00C671D6">
          <w:rPr>
            <w:rStyle w:val="Hyperlink"/>
            <w:rFonts w:ascii="Source Sans Pro" w:hAnsi="Source Sans Pro"/>
            <w:sz w:val="16"/>
            <w:szCs w:val="16"/>
            <w:lang w:val="it-IT"/>
          </w:rPr>
          <w:t>https://doi.org/10.21873/anticanres.14664</w:t>
        </w:r>
      </w:hyperlink>
      <w:r w:rsidRPr="00DA3298">
        <w:rPr>
          <w:rFonts w:ascii="Source Sans Pro" w:hAnsi="Source Sans Pro"/>
          <w:color w:val="2A2A2A"/>
          <w:sz w:val="16"/>
          <w:szCs w:val="16"/>
          <w:lang w:val="it-IT"/>
        </w:rPr>
        <w:t>.</w:t>
      </w:r>
    </w:p>
    <w:p w14:paraId="670123DA" w14:textId="450746EB" w:rsidR="004232C6" w:rsidRPr="004232C6" w:rsidRDefault="004232C6" w:rsidP="004232C6">
      <w:pPr>
        <w:keepNext/>
        <w:keepLines/>
        <w:spacing w:before="40" w:after="120"/>
        <w:jc w:val="both"/>
        <w:outlineLvl w:val="1"/>
        <w:rPr>
          <w:rFonts w:ascii="Source Sans Pro" w:hAnsi="Source Sans Pro"/>
          <w:color w:val="2A2A2A"/>
          <w:sz w:val="16"/>
          <w:szCs w:val="16"/>
        </w:rPr>
      </w:pPr>
      <w:r w:rsidRPr="00DA3298">
        <w:rPr>
          <w:rFonts w:ascii="Source Sans Pro" w:hAnsi="Source Sans Pro"/>
          <w:color w:val="2A2A2A"/>
          <w:sz w:val="16"/>
          <w:szCs w:val="16"/>
          <w:lang w:val="it-IT"/>
        </w:rPr>
        <w:t xml:space="preserve">[Molinelli </w:t>
      </w:r>
      <w:r>
        <w:rPr>
          <w:rFonts w:ascii="Source Sans Pro" w:hAnsi="Source Sans Pro"/>
          <w:color w:val="2A2A2A"/>
          <w:sz w:val="16"/>
          <w:szCs w:val="16"/>
          <w:lang w:val="it-IT"/>
        </w:rPr>
        <w:t>202</w:t>
      </w:r>
      <w:r w:rsidR="00125FFB">
        <w:rPr>
          <w:rFonts w:ascii="Source Sans Pro" w:hAnsi="Source Sans Pro"/>
          <w:color w:val="2A2A2A"/>
          <w:sz w:val="16"/>
          <w:szCs w:val="16"/>
          <w:lang w:val="it-IT"/>
        </w:rPr>
        <w:t>1</w:t>
      </w:r>
      <w:r w:rsidRPr="00DA3298">
        <w:rPr>
          <w:rFonts w:ascii="Source Sans Pro" w:hAnsi="Source Sans Pro"/>
          <w:color w:val="2A2A2A"/>
          <w:sz w:val="16"/>
          <w:szCs w:val="16"/>
          <w:lang w:val="it-IT"/>
        </w:rPr>
        <w:t xml:space="preserve">] Molinelli S, Magro G, Mairani A, et al. </w:t>
      </w:r>
      <w:r w:rsidRPr="00DA3298">
        <w:rPr>
          <w:rFonts w:ascii="Source Sans Pro" w:hAnsi="Source Sans Pro"/>
          <w:color w:val="2A2A2A"/>
          <w:sz w:val="16"/>
          <w:szCs w:val="16"/>
        </w:rPr>
        <w:t xml:space="preserve">How LEM-based RBE and dose-averaged LET affected clinical outcomes of sacral chordoma patients treated with carbon ion radiotherapy. </w:t>
      </w:r>
      <w:r w:rsidRPr="004232C6">
        <w:rPr>
          <w:rFonts w:ascii="Source Sans Pro" w:hAnsi="Source Sans Pro"/>
          <w:color w:val="2A2A2A"/>
          <w:sz w:val="16"/>
          <w:szCs w:val="16"/>
        </w:rPr>
        <w:t>Radiother Oncol 2021;163:209–14. https://doi.org/10.1016/j.radonc.2021.08.024.</w:t>
      </w:r>
    </w:p>
    <w:p w14:paraId="2BB68B55" w14:textId="185ED64E" w:rsidR="00323081" w:rsidRDefault="00323081" w:rsidP="004232C6">
      <w:pPr>
        <w:pStyle w:val="Normal1"/>
        <w:spacing w:after="120"/>
        <w:jc w:val="both"/>
        <w:rPr>
          <w:rFonts w:ascii="Source Sans Pro" w:hAnsi="Source Sans Pro"/>
          <w:sz w:val="16"/>
          <w:szCs w:val="16"/>
          <w:bdr w:val="none" w:sz="0" w:space="0" w:color="auto" w:frame="1"/>
        </w:rPr>
      </w:pPr>
      <w:r>
        <w:rPr>
          <w:rFonts w:ascii="Source Sans Pro" w:hAnsi="Source Sans Pro"/>
          <w:sz w:val="16"/>
          <w:szCs w:val="16"/>
          <w:bdr w:val="none" w:sz="0" w:space="0" w:color="auto" w:frame="1"/>
        </w:rPr>
        <w:t>[</w:t>
      </w:r>
      <w:r w:rsidR="00017166">
        <w:rPr>
          <w:rFonts w:ascii="Source Sans Pro" w:hAnsi="Source Sans Pro"/>
          <w:sz w:val="16"/>
          <w:szCs w:val="16"/>
          <w:bdr w:val="none" w:sz="0" w:space="0" w:color="auto" w:frame="1"/>
        </w:rPr>
        <w:t>A.</w:t>
      </w:r>
      <w:r>
        <w:rPr>
          <w:rFonts w:ascii="Source Sans Pro" w:hAnsi="Source Sans Pro"/>
          <w:sz w:val="16"/>
          <w:szCs w:val="16"/>
          <w:bdr w:val="none" w:sz="0" w:space="0" w:color="auto" w:frame="1"/>
        </w:rPr>
        <w:t xml:space="preserve">Parisi 2020] </w:t>
      </w:r>
      <w:r w:rsidRPr="00323081">
        <w:rPr>
          <w:rFonts w:ascii="Source Sans Pro" w:hAnsi="Source Sans Pro"/>
          <w:sz w:val="16"/>
          <w:szCs w:val="16"/>
          <w:bdr w:val="none" w:sz="0" w:space="0" w:color="auto" w:frame="1"/>
        </w:rPr>
        <w:t>Parisi A, Sato T, Matsuya Y, Kase Y, Magrin G, Verona C, Tran L, Rosenfeld A, Bianchi A, Olko P, Struelens L. Development of a new microdosimetric biological weighting function for the RBE10 assessment in case of the V79 cell line exposed to ions from 1H to 238U. Physics in Medicine &amp; Biology. 2020 Dec 2;65(23):235010.</w:t>
      </w:r>
    </w:p>
    <w:p w14:paraId="1316763E" w14:textId="58DC5968" w:rsidR="00017166" w:rsidRPr="00B40481" w:rsidRDefault="00017166" w:rsidP="00017166">
      <w:pPr>
        <w:pStyle w:val="Normal1"/>
        <w:spacing w:after="120"/>
        <w:jc w:val="both"/>
        <w:rPr>
          <w:rFonts w:asciiTheme="minorHAnsi" w:hAnsiTheme="minorHAnsi" w:cstheme="minorHAnsi"/>
          <w:color w:val="auto"/>
          <w:sz w:val="16"/>
          <w:szCs w:val="16"/>
        </w:rPr>
      </w:pPr>
      <w:r w:rsidRPr="00017166">
        <w:rPr>
          <w:rFonts w:asciiTheme="minorHAnsi" w:hAnsiTheme="minorHAnsi" w:cstheme="minorHAnsi"/>
          <w:color w:val="auto"/>
          <w:sz w:val="16"/>
          <w:szCs w:val="16"/>
        </w:rPr>
        <w:t>[</w:t>
      </w:r>
      <w:r>
        <w:rPr>
          <w:rFonts w:asciiTheme="minorHAnsi" w:hAnsiTheme="minorHAnsi" w:cstheme="minorHAnsi"/>
          <w:color w:val="auto"/>
          <w:sz w:val="16"/>
          <w:szCs w:val="16"/>
        </w:rPr>
        <w:t>G.</w:t>
      </w:r>
      <w:r w:rsidRPr="00017166">
        <w:rPr>
          <w:rFonts w:asciiTheme="minorHAnsi" w:hAnsiTheme="minorHAnsi" w:cstheme="minorHAnsi"/>
          <w:color w:val="auto"/>
          <w:sz w:val="16"/>
          <w:szCs w:val="16"/>
        </w:rPr>
        <w:t>Parisi 2025]</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Experimental and computational characterisation of the secondary fragment field in clinical proton therapy beams using microdosimetry</w:t>
      </w:r>
      <w:r>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3rd International Workshop on Microdosimetry for Particle Therapy: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Bridging physics and biology</w:t>
      </w:r>
      <w:r w:rsidR="00047224">
        <w:rPr>
          <w:rFonts w:asciiTheme="minorHAnsi" w:hAnsiTheme="minorHAnsi" w:cstheme="minorHAnsi"/>
          <w:color w:val="auto"/>
          <w:sz w:val="16"/>
          <w:szCs w:val="16"/>
        </w:rPr>
        <w:t xml:space="preserve">, </w:t>
      </w:r>
      <w:r w:rsidRPr="00017166">
        <w:rPr>
          <w:rFonts w:asciiTheme="minorHAnsi" w:hAnsiTheme="minorHAnsi" w:cstheme="minorHAnsi"/>
          <w:color w:val="auto"/>
          <w:sz w:val="16"/>
          <w:szCs w:val="16"/>
        </w:rPr>
        <w:t>Buenos Aires, Argentina</w:t>
      </w:r>
      <w:r w:rsidR="00047224">
        <w:rPr>
          <w:rFonts w:asciiTheme="minorHAnsi" w:hAnsiTheme="minorHAnsi" w:cstheme="minorHAnsi"/>
          <w:color w:val="auto"/>
          <w:sz w:val="16"/>
          <w:szCs w:val="16"/>
        </w:rPr>
        <w:t xml:space="preserve">, </w:t>
      </w:r>
      <w:r w:rsidR="00047224" w:rsidRPr="00017166">
        <w:rPr>
          <w:rFonts w:asciiTheme="minorHAnsi" w:hAnsiTheme="minorHAnsi" w:cstheme="minorHAnsi"/>
          <w:color w:val="auto"/>
          <w:sz w:val="16"/>
          <w:szCs w:val="16"/>
        </w:rPr>
        <w:t>3rd June 2025</w:t>
      </w:r>
    </w:p>
    <w:p w14:paraId="6AF1D695" w14:textId="5F6D3BE4" w:rsidR="00446AEF" w:rsidRDefault="00446AEF" w:rsidP="004232C6">
      <w:pPr>
        <w:keepNext/>
        <w:keepLines/>
        <w:spacing w:before="40" w:after="120"/>
        <w:jc w:val="both"/>
        <w:outlineLvl w:val="1"/>
        <w:rPr>
          <w:rFonts w:ascii="Source Sans Pro" w:hAnsi="Source Sans Pro"/>
          <w:color w:val="2A2A2A"/>
          <w:sz w:val="16"/>
          <w:szCs w:val="16"/>
        </w:rPr>
      </w:pPr>
      <w:r w:rsidRPr="000111A3">
        <w:rPr>
          <w:rFonts w:ascii="Source Sans Pro" w:hAnsi="Source Sans Pro"/>
          <w:color w:val="2A2A2A"/>
          <w:sz w:val="16"/>
          <w:szCs w:val="16"/>
        </w:rPr>
        <w:t>[Pihet 1999] Pihet P, Menzel HG, Letters to the editor</w:t>
      </w:r>
      <w:r>
        <w:rPr>
          <w:rFonts w:ascii="Source Sans Pro" w:hAnsi="Source Sans Pro"/>
          <w:color w:val="2A2A2A"/>
          <w:sz w:val="16"/>
          <w:szCs w:val="16"/>
        </w:rPr>
        <w:t xml:space="preserve">: </w:t>
      </w:r>
      <w:r w:rsidRPr="000111A3">
        <w:rPr>
          <w:rFonts w:ascii="Source Sans Pro" w:hAnsi="Source Sans Pro"/>
          <w:color w:val="2A2A2A"/>
          <w:sz w:val="16"/>
          <w:szCs w:val="16"/>
        </w:rPr>
        <w:t>Response to the Letter to the Editor “Estimating RBEs at clinical doses from microdosimetric spectra”,</w:t>
      </w:r>
      <w:r>
        <w:rPr>
          <w:rFonts w:ascii="Source Sans Pro" w:hAnsi="Source Sans Pro"/>
          <w:color w:val="2A2A2A"/>
          <w:sz w:val="16"/>
          <w:szCs w:val="16"/>
        </w:rPr>
        <w:t xml:space="preserve"> </w:t>
      </w:r>
      <w:r w:rsidRPr="00D7570C">
        <w:rPr>
          <w:rFonts w:ascii="Source Sans Pro" w:hAnsi="Source Sans Pro"/>
          <w:color w:val="2A2A2A"/>
          <w:sz w:val="16"/>
          <w:szCs w:val="16"/>
        </w:rPr>
        <w:t>Medical Physics. 199</w:t>
      </w:r>
      <w:r>
        <w:rPr>
          <w:rFonts w:ascii="Source Sans Pro" w:hAnsi="Source Sans Pro"/>
          <w:color w:val="2A2A2A"/>
          <w:sz w:val="16"/>
          <w:szCs w:val="16"/>
        </w:rPr>
        <w:t>9</w:t>
      </w:r>
      <w:r w:rsidRPr="00D7570C">
        <w:rPr>
          <w:rFonts w:ascii="Source Sans Pro" w:hAnsi="Source Sans Pro"/>
          <w:color w:val="2A2A2A"/>
          <w:sz w:val="16"/>
          <w:szCs w:val="16"/>
        </w:rPr>
        <w:t>;</w:t>
      </w:r>
      <w:r>
        <w:rPr>
          <w:rFonts w:ascii="Source Sans Pro" w:hAnsi="Source Sans Pro"/>
          <w:color w:val="2A2A2A"/>
          <w:sz w:val="16"/>
          <w:szCs w:val="16"/>
        </w:rPr>
        <w:t xml:space="preserve"> </w:t>
      </w:r>
      <w:r w:rsidRPr="00D7570C">
        <w:rPr>
          <w:rFonts w:ascii="Source Sans Pro" w:hAnsi="Source Sans Pro"/>
          <w:color w:val="2A2A2A"/>
          <w:sz w:val="16"/>
          <w:szCs w:val="16"/>
        </w:rPr>
        <w:t>2</w:t>
      </w:r>
      <w:r>
        <w:rPr>
          <w:rFonts w:ascii="Source Sans Pro" w:hAnsi="Source Sans Pro"/>
          <w:color w:val="2A2A2A"/>
          <w:sz w:val="16"/>
          <w:szCs w:val="16"/>
        </w:rPr>
        <w:t>6</w:t>
      </w:r>
      <w:r w:rsidRPr="00D7570C">
        <w:rPr>
          <w:rFonts w:ascii="Source Sans Pro" w:hAnsi="Source Sans Pro"/>
          <w:color w:val="2A2A2A"/>
          <w:sz w:val="16"/>
          <w:szCs w:val="16"/>
        </w:rPr>
        <w:t>(</w:t>
      </w:r>
      <w:r>
        <w:rPr>
          <w:rFonts w:ascii="Source Sans Pro" w:hAnsi="Source Sans Pro"/>
          <w:color w:val="2A2A2A"/>
          <w:sz w:val="16"/>
          <w:szCs w:val="16"/>
        </w:rPr>
        <w:t>5</w:t>
      </w:r>
      <w:r w:rsidRPr="00D7570C">
        <w:rPr>
          <w:rFonts w:ascii="Source Sans Pro" w:hAnsi="Source Sans Pro"/>
          <w:color w:val="2A2A2A"/>
          <w:sz w:val="16"/>
          <w:szCs w:val="16"/>
        </w:rPr>
        <w:t>):</w:t>
      </w:r>
      <w:r>
        <w:rPr>
          <w:rFonts w:ascii="Source Sans Pro" w:hAnsi="Source Sans Pro"/>
          <w:color w:val="2A2A2A"/>
          <w:sz w:val="16"/>
          <w:szCs w:val="16"/>
        </w:rPr>
        <w:t>848</w:t>
      </w:r>
      <w:r w:rsidRPr="00D7570C">
        <w:rPr>
          <w:rFonts w:ascii="Source Sans Pro" w:hAnsi="Source Sans Pro"/>
          <w:color w:val="2A2A2A"/>
          <w:sz w:val="16"/>
          <w:szCs w:val="16"/>
        </w:rPr>
        <w:t>-</w:t>
      </w:r>
      <w:r>
        <w:rPr>
          <w:rFonts w:ascii="Source Sans Pro" w:hAnsi="Source Sans Pro"/>
          <w:color w:val="2A2A2A"/>
          <w:sz w:val="16"/>
          <w:szCs w:val="16"/>
        </w:rPr>
        <w:t>52</w:t>
      </w:r>
      <w:r w:rsidRPr="000111A3">
        <w:rPr>
          <w:rFonts w:ascii="Source Sans Pro" w:hAnsi="Source Sans Pro"/>
          <w:color w:val="2A2A2A"/>
          <w:sz w:val="16"/>
          <w:szCs w:val="16"/>
        </w:rPr>
        <w:t xml:space="preserve"> </w:t>
      </w:r>
    </w:p>
    <w:p w14:paraId="7C9F8ABE" w14:textId="5D214D4E" w:rsidR="00F20202" w:rsidRDefault="00F20202" w:rsidP="004232C6">
      <w:pPr>
        <w:keepNext/>
        <w:keepLines/>
        <w:spacing w:before="40" w:after="120"/>
        <w:jc w:val="both"/>
        <w:outlineLvl w:val="1"/>
        <w:rPr>
          <w:rFonts w:ascii="Source Sans Pro" w:hAnsi="Source Sans Pro"/>
          <w:color w:val="2A2A2A"/>
          <w:sz w:val="16"/>
          <w:szCs w:val="16"/>
        </w:rPr>
      </w:pPr>
      <w:r>
        <w:rPr>
          <w:rFonts w:ascii="Source Sans Pro" w:hAnsi="Source Sans Pro"/>
          <w:color w:val="2A2A2A"/>
          <w:sz w:val="16"/>
          <w:szCs w:val="16"/>
        </w:rPr>
        <w:t>[</w:t>
      </w:r>
      <w:r w:rsidRPr="00F20202">
        <w:rPr>
          <w:rFonts w:ascii="Source Sans Pro" w:hAnsi="Source Sans Pro"/>
          <w:color w:val="2A2A2A"/>
          <w:sz w:val="16"/>
          <w:szCs w:val="16"/>
        </w:rPr>
        <w:t xml:space="preserve">Rossi </w:t>
      </w:r>
      <w:r>
        <w:rPr>
          <w:rFonts w:ascii="Source Sans Pro" w:hAnsi="Source Sans Pro"/>
          <w:color w:val="2A2A2A"/>
          <w:sz w:val="16"/>
          <w:szCs w:val="16"/>
        </w:rPr>
        <w:t xml:space="preserve">1968] </w:t>
      </w:r>
      <w:r w:rsidRPr="00F20202">
        <w:rPr>
          <w:rFonts w:ascii="Source Sans Pro" w:hAnsi="Source Sans Pro"/>
          <w:color w:val="2A2A2A"/>
          <w:sz w:val="16"/>
          <w:szCs w:val="16"/>
        </w:rPr>
        <w:t>Rossi HH. Microscopic energy distribution in irradiated matter. Radiation dosimetry. 1968 Jan 1;1:43-92.</w:t>
      </w:r>
    </w:p>
    <w:p w14:paraId="619F92C2" w14:textId="41CE1795" w:rsidR="00601257" w:rsidRDefault="00601257" w:rsidP="004232C6">
      <w:pPr>
        <w:keepNext/>
        <w:keepLines/>
        <w:spacing w:before="40" w:after="120"/>
        <w:jc w:val="both"/>
        <w:outlineLvl w:val="1"/>
        <w:rPr>
          <w:rFonts w:ascii="Source Sans Pro" w:hAnsi="Source Sans Pro"/>
          <w:color w:val="2A2A2A"/>
          <w:sz w:val="16"/>
          <w:szCs w:val="16"/>
        </w:rPr>
      </w:pPr>
    </w:p>
    <w:p w14:paraId="1A6B99AE" w14:textId="77777777" w:rsidR="00601257" w:rsidRDefault="00601257" w:rsidP="004232C6">
      <w:pPr>
        <w:keepNext/>
        <w:keepLines/>
        <w:spacing w:before="40" w:after="120"/>
        <w:jc w:val="both"/>
        <w:outlineLvl w:val="1"/>
        <w:rPr>
          <w:rFonts w:ascii="Source Sans Pro" w:hAnsi="Source Sans Pro"/>
          <w:color w:val="2A2A2A"/>
          <w:sz w:val="16"/>
          <w:szCs w:val="16"/>
        </w:rPr>
      </w:pPr>
    </w:p>
    <w:p w14:paraId="177D0677" w14:textId="167EDF89" w:rsidR="00601257" w:rsidRDefault="00601257" w:rsidP="00601257">
      <w:pPr>
        <w:keepNext/>
        <w:keepLines/>
        <w:numPr>
          <w:ilvl w:val="0"/>
          <w:numId w:val="1"/>
        </w:numPr>
        <w:spacing w:before="40" w:after="0"/>
        <w:jc w:val="both"/>
        <w:outlineLvl w:val="1"/>
        <w:rPr>
          <w:rFonts w:ascii="Source Sans Pro" w:hAnsi="Source Sans Pro"/>
          <w:b/>
          <w:bCs/>
          <w:color w:val="2A2A2A"/>
          <w:sz w:val="16"/>
          <w:szCs w:val="16"/>
        </w:rPr>
      </w:pPr>
      <w:r>
        <w:rPr>
          <w:rFonts w:ascii="Source Sans Pro" w:hAnsi="Source Sans Pro"/>
          <w:b/>
          <w:bCs/>
          <w:color w:val="2A2A2A"/>
          <w:sz w:val="16"/>
          <w:szCs w:val="16"/>
        </w:rPr>
        <w:t>Source files</w:t>
      </w:r>
    </w:p>
    <w:p w14:paraId="6F18FACA" w14:textId="77777777" w:rsidR="00601257" w:rsidRPr="00601257" w:rsidRDefault="00601257" w:rsidP="00601257">
      <w:pPr>
        <w:pStyle w:val="Normal1"/>
        <w:jc w:val="both"/>
        <w:rPr>
          <w:rFonts w:asciiTheme="minorHAnsi" w:hAnsiTheme="minorHAnsi" w:cstheme="minorHAnsi"/>
          <w:color w:val="00B050"/>
          <w:sz w:val="18"/>
          <w:szCs w:val="18"/>
        </w:rPr>
      </w:pPr>
      <w:r w:rsidRPr="00601257">
        <w:rPr>
          <w:rFonts w:ascii="Source Sans Pro" w:hAnsi="Source Sans Pro"/>
          <w:color w:val="2A2A2A"/>
          <w:sz w:val="16"/>
          <w:szCs w:val="16"/>
        </w:rPr>
        <w:t xml:space="preserve">Figure 6: </w:t>
      </w:r>
      <w:r w:rsidRPr="00601257">
        <w:rPr>
          <w:rFonts w:asciiTheme="minorHAnsi" w:hAnsiTheme="minorHAnsi" w:cstheme="minorHAnsi"/>
          <w:color w:val="00B050"/>
          <w:sz w:val="18"/>
          <w:szCs w:val="18"/>
        </w:rPr>
        <w:t>[Source: Python notebook — Energy_straggling_convolutions-FFT-14Feb2025-Rossi_graph.ipynb]</w:t>
      </w:r>
    </w:p>
    <w:p w14:paraId="1C5258EC" w14:textId="2C5A0335" w:rsidR="00601257" w:rsidRPr="004232C6" w:rsidRDefault="00601257" w:rsidP="00601257">
      <w:pPr>
        <w:keepNext/>
        <w:keepLines/>
        <w:spacing w:before="40" w:after="0"/>
        <w:jc w:val="both"/>
        <w:outlineLvl w:val="1"/>
        <w:rPr>
          <w:rFonts w:ascii="Source Sans Pro" w:hAnsi="Source Sans Pro"/>
          <w:b/>
          <w:bCs/>
          <w:color w:val="2A2A2A"/>
          <w:sz w:val="16"/>
          <w:szCs w:val="16"/>
        </w:rPr>
      </w:pPr>
    </w:p>
    <w:p w14:paraId="68D0BC84" w14:textId="50A184B7" w:rsidR="004232C6" w:rsidRDefault="00723524">
      <w:pPr>
        <w:rPr>
          <w:rFonts w:cstheme="minorHAnsi"/>
          <w:color w:val="FF0000"/>
          <w:sz w:val="20"/>
          <w:szCs w:val="20"/>
        </w:rPr>
        <w:sectPr w:rsidR="004232C6" w:rsidSect="004232C6">
          <w:type w:val="continuous"/>
          <w:pgSz w:w="11906" w:h="16838" w:code="9"/>
          <w:pgMar w:top="1440" w:right="1440" w:bottom="1440" w:left="1440" w:header="720" w:footer="720" w:gutter="0"/>
          <w:cols w:space="720"/>
          <w:docGrid w:linePitch="360"/>
        </w:sectPr>
      </w:pPr>
      <w:r>
        <w:rPr>
          <w:rFonts w:cstheme="minorHAnsi"/>
          <w:color w:val="FF0000"/>
          <w:sz w:val="20"/>
          <w:szCs w:val="20"/>
        </w:rPr>
        <w:br w:type="page"/>
      </w:r>
    </w:p>
    <w:p w14:paraId="4E97C794" w14:textId="1DE4AD15" w:rsidR="00723524" w:rsidRDefault="00723524">
      <w:pPr>
        <w:rPr>
          <w:rFonts w:cstheme="minorHAnsi"/>
          <w:color w:val="FF0000"/>
          <w:sz w:val="20"/>
          <w:szCs w:val="20"/>
        </w:rPr>
      </w:pPr>
    </w:p>
    <w:p w14:paraId="6D15C14A" w14:textId="77777777" w:rsidR="00F22A73" w:rsidRDefault="00F22A73" w:rsidP="007D4473">
      <w:pPr>
        <w:jc w:val="both"/>
        <w:rPr>
          <w:rFonts w:cstheme="minorHAnsi"/>
          <w:color w:val="FF0000"/>
          <w:sz w:val="20"/>
          <w:szCs w:val="20"/>
        </w:rPr>
      </w:pPr>
    </w:p>
    <w:tbl>
      <w:tblPr>
        <w:tblStyle w:val="TableGrid"/>
        <w:tblW w:w="8991" w:type="dxa"/>
        <w:tblInd w:w="360" w:type="dxa"/>
        <w:tblLayout w:type="fixed"/>
        <w:tblLook w:val="04A0" w:firstRow="1" w:lastRow="0" w:firstColumn="1" w:lastColumn="0" w:noHBand="0" w:noVBand="1"/>
      </w:tblPr>
      <w:tblGrid>
        <w:gridCol w:w="911"/>
        <w:gridCol w:w="1276"/>
        <w:gridCol w:w="2693"/>
        <w:gridCol w:w="4111"/>
      </w:tblGrid>
      <w:tr w:rsidR="001F5B8E" w14:paraId="23C6CC51" w14:textId="77777777" w:rsidTr="009A278A">
        <w:trPr>
          <w:trHeight w:val="732"/>
        </w:trPr>
        <w:tc>
          <w:tcPr>
            <w:tcW w:w="8991" w:type="dxa"/>
            <w:gridSpan w:val="4"/>
          </w:tcPr>
          <w:p w14:paraId="386E7BE9" w14:textId="201078BF" w:rsidR="001F5B8E" w:rsidRPr="001F5B8E" w:rsidRDefault="001F5B8E" w:rsidP="007D4473">
            <w:pPr>
              <w:jc w:val="both"/>
              <w:rPr>
                <w:rFonts w:ascii="Calibri" w:hAnsi="Calibri" w:cs="Arial"/>
                <w:sz w:val="20"/>
                <w:szCs w:val="20"/>
                <w:shd w:val="clear" w:color="auto" w:fill="FFFFFF"/>
              </w:rPr>
            </w:pPr>
            <w:r>
              <w:rPr>
                <w:rFonts w:ascii="Calibri" w:hAnsi="Calibri" w:cs="Arial"/>
                <w:sz w:val="20"/>
                <w:szCs w:val="20"/>
                <w:shd w:val="clear" w:color="auto" w:fill="FFFFFF"/>
              </w:rPr>
              <w:t xml:space="preserve">Chapter </w:t>
            </w:r>
            <w:r w:rsidR="007D4473">
              <w:rPr>
                <w:rFonts w:ascii="Calibri" w:hAnsi="Calibri" w:cs="Arial"/>
                <w:sz w:val="20"/>
                <w:szCs w:val="20"/>
                <w:shd w:val="clear" w:color="auto" w:fill="FFFFFF"/>
              </w:rPr>
              <w:t>GREEN</w:t>
            </w:r>
          </w:p>
        </w:tc>
      </w:tr>
      <w:tr w:rsidR="001F5B8E" w14:paraId="70648182" w14:textId="77777777" w:rsidTr="00156E64">
        <w:trPr>
          <w:trHeight w:val="248"/>
        </w:trPr>
        <w:tc>
          <w:tcPr>
            <w:tcW w:w="911" w:type="dxa"/>
          </w:tcPr>
          <w:p w14:paraId="1C98F993" w14:textId="41DB9396"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Version</w:t>
            </w:r>
          </w:p>
        </w:tc>
        <w:tc>
          <w:tcPr>
            <w:tcW w:w="1276" w:type="dxa"/>
          </w:tcPr>
          <w:p w14:paraId="33AB2E15" w14:textId="1FB9C00E"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Date</w:t>
            </w:r>
          </w:p>
        </w:tc>
        <w:tc>
          <w:tcPr>
            <w:tcW w:w="2693" w:type="dxa"/>
          </w:tcPr>
          <w:p w14:paraId="49139F84" w14:textId="34099567"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Authors</w:t>
            </w:r>
          </w:p>
        </w:tc>
        <w:tc>
          <w:tcPr>
            <w:tcW w:w="4111" w:type="dxa"/>
          </w:tcPr>
          <w:p w14:paraId="35FCDAC8" w14:textId="2D671F2F" w:rsidR="001F5B8E" w:rsidRPr="001F5B8E" w:rsidRDefault="001F5B8E" w:rsidP="007D4473">
            <w:pPr>
              <w:pStyle w:val="ListParagraph"/>
              <w:ind w:left="0"/>
              <w:jc w:val="both"/>
              <w:rPr>
                <w:rFonts w:ascii="Calibri" w:hAnsi="Calibri" w:cs="Arial"/>
                <w:b/>
                <w:bCs/>
                <w:sz w:val="20"/>
                <w:szCs w:val="20"/>
                <w:shd w:val="clear" w:color="auto" w:fill="FFFFFF"/>
              </w:rPr>
            </w:pPr>
            <w:r w:rsidRPr="001F5B8E">
              <w:rPr>
                <w:rFonts w:ascii="Calibri" w:hAnsi="Calibri" w:cs="Arial"/>
                <w:b/>
                <w:bCs/>
                <w:sz w:val="20"/>
                <w:szCs w:val="20"/>
                <w:shd w:val="clear" w:color="auto" w:fill="FFFFFF"/>
              </w:rPr>
              <w:t>Major changes and comments</w:t>
            </w:r>
          </w:p>
        </w:tc>
      </w:tr>
      <w:tr w:rsidR="001F5B8E" w14:paraId="39E24B9D" w14:textId="77777777" w:rsidTr="00156E64">
        <w:trPr>
          <w:trHeight w:val="265"/>
        </w:trPr>
        <w:tc>
          <w:tcPr>
            <w:tcW w:w="911" w:type="dxa"/>
          </w:tcPr>
          <w:p w14:paraId="28D88489" w14:textId="74220C2A"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0.1</w:t>
            </w:r>
          </w:p>
        </w:tc>
        <w:tc>
          <w:tcPr>
            <w:tcW w:w="1276" w:type="dxa"/>
          </w:tcPr>
          <w:p w14:paraId="1561498C" w14:textId="723D597E" w:rsidR="001F5B8E" w:rsidRDefault="00A97B79"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28 July</w:t>
            </w:r>
            <w:r w:rsidR="001F5B8E">
              <w:rPr>
                <w:rFonts w:ascii="Calibri" w:hAnsi="Calibri" w:cs="Arial"/>
                <w:sz w:val="20"/>
                <w:szCs w:val="20"/>
                <w:shd w:val="clear" w:color="auto" w:fill="FFFFFF"/>
              </w:rPr>
              <w:t xml:space="preserve"> 2025</w:t>
            </w:r>
          </w:p>
        </w:tc>
        <w:tc>
          <w:tcPr>
            <w:tcW w:w="2693" w:type="dxa"/>
          </w:tcPr>
          <w:p w14:paraId="504F482A" w14:textId="69B47F1F"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0A64C403" w14:textId="727512F3" w:rsidR="001F5B8E" w:rsidRDefault="001F5B8E"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First version</w:t>
            </w:r>
          </w:p>
        </w:tc>
      </w:tr>
      <w:tr w:rsidR="001F5B8E" w14:paraId="1C12AAC5" w14:textId="77777777" w:rsidTr="00156E64">
        <w:trPr>
          <w:trHeight w:val="269"/>
        </w:trPr>
        <w:tc>
          <w:tcPr>
            <w:tcW w:w="911" w:type="dxa"/>
          </w:tcPr>
          <w:p w14:paraId="7B5164A7" w14:textId="06934A81"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0.2</w:t>
            </w:r>
          </w:p>
        </w:tc>
        <w:tc>
          <w:tcPr>
            <w:tcW w:w="1276" w:type="dxa"/>
          </w:tcPr>
          <w:p w14:paraId="7C8F4390" w14:textId="7A1C490D"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20 Aug 2025</w:t>
            </w:r>
          </w:p>
        </w:tc>
        <w:tc>
          <w:tcPr>
            <w:tcW w:w="2693" w:type="dxa"/>
          </w:tcPr>
          <w:p w14:paraId="1F1FF6E8" w14:textId="32753079" w:rsidR="001F5B8E" w:rsidRDefault="00D03737"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Giulio Magrin</w:t>
            </w:r>
          </w:p>
        </w:tc>
        <w:tc>
          <w:tcPr>
            <w:tcW w:w="4111" w:type="dxa"/>
          </w:tcPr>
          <w:p w14:paraId="284FE50B" w14:textId="05B808AD" w:rsidR="001F5B8E" w:rsidRDefault="00F77EF2" w:rsidP="007D4473">
            <w:pPr>
              <w:pStyle w:val="ListParagraph"/>
              <w:ind w:left="0"/>
              <w:jc w:val="both"/>
              <w:rPr>
                <w:rFonts w:ascii="Calibri" w:hAnsi="Calibri" w:cs="Arial"/>
                <w:sz w:val="20"/>
                <w:szCs w:val="20"/>
                <w:shd w:val="clear" w:color="auto" w:fill="FFFFFF"/>
              </w:rPr>
            </w:pPr>
            <w:r>
              <w:rPr>
                <w:rFonts w:ascii="Calibri" w:hAnsi="Calibri" w:cs="Arial"/>
                <w:sz w:val="20"/>
                <w:szCs w:val="20"/>
                <w:shd w:val="clear" w:color="auto" w:fill="FFFFFF"/>
              </w:rPr>
              <w:t xml:space="preserve">Few typos’ corrections. Adjusted section 5. Added IP statement. </w:t>
            </w:r>
          </w:p>
        </w:tc>
      </w:tr>
      <w:tr w:rsidR="001F5B8E" w14:paraId="03640AAA" w14:textId="77777777" w:rsidTr="00156E64">
        <w:trPr>
          <w:trHeight w:val="289"/>
        </w:trPr>
        <w:tc>
          <w:tcPr>
            <w:tcW w:w="911" w:type="dxa"/>
          </w:tcPr>
          <w:p w14:paraId="339FA7B4" w14:textId="77777777" w:rsidR="001F5B8E" w:rsidRDefault="001F5B8E" w:rsidP="007D4473">
            <w:pPr>
              <w:pStyle w:val="ListParagraph"/>
              <w:ind w:left="0"/>
              <w:jc w:val="both"/>
              <w:rPr>
                <w:rFonts w:ascii="Calibri" w:hAnsi="Calibri" w:cs="Arial"/>
                <w:sz w:val="20"/>
                <w:szCs w:val="20"/>
                <w:shd w:val="clear" w:color="auto" w:fill="FFFFFF"/>
              </w:rPr>
            </w:pPr>
          </w:p>
        </w:tc>
        <w:tc>
          <w:tcPr>
            <w:tcW w:w="1276" w:type="dxa"/>
          </w:tcPr>
          <w:p w14:paraId="0EF160A3" w14:textId="77777777" w:rsidR="001F5B8E" w:rsidRDefault="001F5B8E" w:rsidP="007D4473">
            <w:pPr>
              <w:pStyle w:val="ListParagraph"/>
              <w:ind w:left="0"/>
              <w:jc w:val="both"/>
              <w:rPr>
                <w:rFonts w:ascii="Calibri" w:hAnsi="Calibri" w:cs="Arial"/>
                <w:sz w:val="20"/>
                <w:szCs w:val="20"/>
                <w:shd w:val="clear" w:color="auto" w:fill="FFFFFF"/>
              </w:rPr>
            </w:pPr>
          </w:p>
        </w:tc>
        <w:tc>
          <w:tcPr>
            <w:tcW w:w="2693" w:type="dxa"/>
          </w:tcPr>
          <w:p w14:paraId="5D150230" w14:textId="77777777" w:rsidR="001F5B8E" w:rsidRDefault="001F5B8E" w:rsidP="007D4473">
            <w:pPr>
              <w:pStyle w:val="ListParagraph"/>
              <w:ind w:left="0"/>
              <w:jc w:val="both"/>
              <w:rPr>
                <w:rFonts w:ascii="Calibri" w:hAnsi="Calibri" w:cs="Arial"/>
                <w:sz w:val="20"/>
                <w:szCs w:val="20"/>
                <w:shd w:val="clear" w:color="auto" w:fill="FFFFFF"/>
              </w:rPr>
            </w:pPr>
          </w:p>
        </w:tc>
        <w:tc>
          <w:tcPr>
            <w:tcW w:w="4111" w:type="dxa"/>
          </w:tcPr>
          <w:p w14:paraId="0A01D564" w14:textId="77777777" w:rsidR="001F5B8E" w:rsidRDefault="001F5B8E" w:rsidP="007D4473">
            <w:pPr>
              <w:pStyle w:val="ListParagraph"/>
              <w:ind w:left="0"/>
              <w:jc w:val="both"/>
              <w:rPr>
                <w:rFonts w:ascii="Calibri" w:hAnsi="Calibri" w:cs="Arial"/>
                <w:sz w:val="20"/>
                <w:szCs w:val="20"/>
                <w:shd w:val="clear" w:color="auto" w:fill="FFFFFF"/>
              </w:rPr>
            </w:pPr>
          </w:p>
        </w:tc>
      </w:tr>
      <w:tr w:rsidR="00F77EF2" w14:paraId="74E75A46" w14:textId="77777777" w:rsidTr="00F6650C">
        <w:trPr>
          <w:trHeight w:val="263"/>
        </w:trPr>
        <w:tc>
          <w:tcPr>
            <w:tcW w:w="8991" w:type="dxa"/>
            <w:gridSpan w:val="4"/>
          </w:tcPr>
          <w:p w14:paraId="463BEA33" w14:textId="77777777" w:rsidR="00F77EF2" w:rsidRPr="000F3000" w:rsidRDefault="00F77EF2" w:rsidP="00F77EF2">
            <w:pPr>
              <w:shd w:val="clear" w:color="auto" w:fill="FFFFFF"/>
              <w:spacing w:before="120" w:after="120"/>
              <w:rPr>
                <w:rFonts w:eastAsia="Times New Roman" w:cstheme="minorHAnsi"/>
                <w:color w:val="202122"/>
                <w:sz w:val="20"/>
                <w:szCs w:val="20"/>
              </w:rPr>
            </w:pPr>
            <w:r w:rsidRPr="000F3000">
              <w:rPr>
                <w:rFonts w:eastAsia="Times New Roman" w:cstheme="minorHAnsi"/>
                <w:b/>
                <w:bCs/>
                <w:color w:val="202122"/>
                <w:sz w:val="20"/>
                <w:szCs w:val="20"/>
              </w:rPr>
              <w:t>Intellectual Property (IP) Statement:</w:t>
            </w:r>
          </w:p>
          <w:p w14:paraId="7A038A8E" w14:textId="03947BE0" w:rsidR="00F77EF2" w:rsidRDefault="00F77EF2" w:rsidP="00F77EF2">
            <w:pPr>
              <w:pStyle w:val="ListParagraph"/>
              <w:ind w:left="0"/>
              <w:jc w:val="both"/>
              <w:rPr>
                <w:rFonts w:ascii="Calibri" w:hAnsi="Calibri" w:cs="Arial"/>
                <w:sz w:val="20"/>
                <w:szCs w:val="20"/>
                <w:shd w:val="clear" w:color="auto" w:fill="FFFFFF"/>
              </w:rPr>
            </w:pPr>
            <w:r w:rsidRPr="000F3000">
              <w:rPr>
                <w:rFonts w:eastAsia="Times New Roman" w:cstheme="minorHAnsi"/>
                <w:i/>
                <w:iCs/>
                <w:color w:val="202122"/>
                <w:sz w:val="20"/>
                <w:szCs w:val="20"/>
              </w:rPr>
              <w:t>"Th</w:t>
            </w:r>
            <w:r w:rsidRPr="00574990">
              <w:rPr>
                <w:rFonts w:eastAsia="Times New Roman" w:cstheme="minorHAnsi"/>
                <w:i/>
                <w:iCs/>
                <w:color w:val="202122"/>
                <w:sz w:val="20"/>
                <w:szCs w:val="20"/>
              </w:rPr>
              <w:t>is</w:t>
            </w:r>
            <w:r w:rsidRPr="000F3000">
              <w:rPr>
                <w:rFonts w:eastAsia="Times New Roman" w:cstheme="minorHAnsi"/>
                <w:i/>
                <w:iCs/>
                <w:color w:val="202122"/>
                <w:sz w:val="20"/>
                <w:szCs w:val="20"/>
              </w:rPr>
              <w:t xml:space="preserve"> document </w:t>
            </w:r>
            <w:r w:rsidRPr="00574990">
              <w:rPr>
                <w:rFonts w:eastAsia="Times New Roman" w:cstheme="minorHAnsi"/>
                <w:i/>
                <w:iCs/>
                <w:color w:val="202122"/>
                <w:sz w:val="20"/>
                <w:szCs w:val="20"/>
              </w:rPr>
              <w:t xml:space="preserve">is </w:t>
            </w:r>
            <w:r w:rsidRPr="000F3000">
              <w:rPr>
                <w:rFonts w:eastAsia="Times New Roman" w:cstheme="minorHAnsi"/>
                <w:i/>
                <w:iCs/>
                <w:color w:val="202122"/>
                <w:sz w:val="20"/>
                <w:szCs w:val="20"/>
              </w:rPr>
              <w:t>the result of collaborative research conducted by the undersigned authors. All intellectual property rights associated with the content herein remain with their respective institutions, and any use, reproduction, or distribution must be authorized by those institution</w:t>
            </w:r>
            <w:r w:rsidRPr="00574990">
              <w:rPr>
                <w:rFonts w:eastAsia="Times New Roman" w:cstheme="minorHAnsi"/>
                <w:i/>
                <w:iCs/>
                <w:color w:val="202122"/>
                <w:sz w:val="20"/>
                <w:szCs w:val="20"/>
              </w:rPr>
              <w:t>s</w:t>
            </w:r>
            <w:r>
              <w:rPr>
                <w:rFonts w:eastAsia="Times New Roman" w:cstheme="minorHAnsi"/>
                <w:i/>
                <w:iCs/>
                <w:color w:val="202122"/>
                <w:sz w:val="20"/>
                <w:szCs w:val="20"/>
              </w:rPr>
              <w:t>”</w:t>
            </w:r>
          </w:p>
        </w:tc>
      </w:tr>
    </w:tbl>
    <w:p w14:paraId="27FFFF75" w14:textId="3D9F5A3A" w:rsidR="009306CE" w:rsidRDefault="009306CE" w:rsidP="007D4473">
      <w:pPr>
        <w:pStyle w:val="ListParagraph"/>
        <w:ind w:left="360"/>
        <w:jc w:val="both"/>
        <w:rPr>
          <w:rFonts w:ascii="Calibri" w:hAnsi="Calibri" w:cs="Arial"/>
          <w:sz w:val="20"/>
          <w:szCs w:val="20"/>
          <w:shd w:val="clear" w:color="auto" w:fill="FFFFFF"/>
        </w:rPr>
      </w:pPr>
    </w:p>
    <w:p w14:paraId="25552E86" w14:textId="2EAD5B30" w:rsidR="009306CE" w:rsidRDefault="009306CE">
      <w:pPr>
        <w:rPr>
          <w:rFonts w:ascii="Calibri" w:hAnsi="Calibri" w:cs="Arial"/>
          <w:sz w:val="20"/>
          <w:szCs w:val="20"/>
          <w:shd w:val="clear" w:color="auto" w:fill="FFFFFF"/>
        </w:rPr>
      </w:pPr>
    </w:p>
    <w:sectPr w:rsidR="009306CE" w:rsidSect="00C856F0">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DACE" w14:textId="77777777" w:rsidR="00147224" w:rsidRDefault="00147224" w:rsidP="00147224">
      <w:pPr>
        <w:spacing w:after="0" w:line="240" w:lineRule="auto"/>
      </w:pPr>
      <w:r>
        <w:separator/>
      </w:r>
    </w:p>
  </w:endnote>
  <w:endnote w:type="continuationSeparator" w:id="0">
    <w:p w14:paraId="08776CCC" w14:textId="77777777" w:rsidR="00147224" w:rsidRDefault="00147224" w:rsidP="0014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Gulliv-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600B" w14:textId="77777777" w:rsidR="00147224" w:rsidRDefault="00147224" w:rsidP="00147224">
      <w:pPr>
        <w:spacing w:after="0" w:line="240" w:lineRule="auto"/>
      </w:pPr>
      <w:r>
        <w:separator/>
      </w:r>
    </w:p>
  </w:footnote>
  <w:footnote w:type="continuationSeparator" w:id="0">
    <w:p w14:paraId="6E68C698" w14:textId="77777777" w:rsidR="00147224" w:rsidRDefault="00147224" w:rsidP="00147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2D9"/>
    <w:multiLevelType w:val="hybridMultilevel"/>
    <w:tmpl w:val="196EF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3196E"/>
    <w:multiLevelType w:val="hybridMultilevel"/>
    <w:tmpl w:val="133C4E4C"/>
    <w:lvl w:ilvl="0" w:tplc="F2485A2E">
      <w:start w:val="1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45D51"/>
    <w:multiLevelType w:val="hybridMultilevel"/>
    <w:tmpl w:val="AF04972C"/>
    <w:lvl w:ilvl="0" w:tplc="852ECC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7B44"/>
    <w:multiLevelType w:val="hybridMultilevel"/>
    <w:tmpl w:val="89806106"/>
    <w:lvl w:ilvl="0" w:tplc="ACACDA7A">
      <w:start w:val="1"/>
      <w:numFmt w:val="bullet"/>
      <w:lvlText w:val="-"/>
      <w:lvlJc w:val="left"/>
      <w:pPr>
        <w:tabs>
          <w:tab w:val="num" w:pos="720"/>
        </w:tabs>
        <w:ind w:left="720" w:hanging="360"/>
      </w:pPr>
      <w:rPr>
        <w:rFonts w:ascii="Times New Roman" w:hAnsi="Times New Roman" w:hint="default"/>
      </w:rPr>
    </w:lvl>
    <w:lvl w:ilvl="1" w:tplc="2464827A" w:tentative="1">
      <w:start w:val="1"/>
      <w:numFmt w:val="bullet"/>
      <w:lvlText w:val="-"/>
      <w:lvlJc w:val="left"/>
      <w:pPr>
        <w:tabs>
          <w:tab w:val="num" w:pos="1440"/>
        </w:tabs>
        <w:ind w:left="1440" w:hanging="360"/>
      </w:pPr>
      <w:rPr>
        <w:rFonts w:ascii="Times New Roman" w:hAnsi="Times New Roman" w:hint="default"/>
      </w:rPr>
    </w:lvl>
    <w:lvl w:ilvl="2" w:tplc="EF203EC4" w:tentative="1">
      <w:start w:val="1"/>
      <w:numFmt w:val="bullet"/>
      <w:lvlText w:val="-"/>
      <w:lvlJc w:val="left"/>
      <w:pPr>
        <w:tabs>
          <w:tab w:val="num" w:pos="2160"/>
        </w:tabs>
        <w:ind w:left="2160" w:hanging="360"/>
      </w:pPr>
      <w:rPr>
        <w:rFonts w:ascii="Times New Roman" w:hAnsi="Times New Roman" w:hint="default"/>
      </w:rPr>
    </w:lvl>
    <w:lvl w:ilvl="3" w:tplc="3C8AE47A" w:tentative="1">
      <w:start w:val="1"/>
      <w:numFmt w:val="bullet"/>
      <w:lvlText w:val="-"/>
      <w:lvlJc w:val="left"/>
      <w:pPr>
        <w:tabs>
          <w:tab w:val="num" w:pos="2880"/>
        </w:tabs>
        <w:ind w:left="2880" w:hanging="360"/>
      </w:pPr>
      <w:rPr>
        <w:rFonts w:ascii="Times New Roman" w:hAnsi="Times New Roman" w:hint="default"/>
      </w:rPr>
    </w:lvl>
    <w:lvl w:ilvl="4" w:tplc="B66AAA46" w:tentative="1">
      <w:start w:val="1"/>
      <w:numFmt w:val="bullet"/>
      <w:lvlText w:val="-"/>
      <w:lvlJc w:val="left"/>
      <w:pPr>
        <w:tabs>
          <w:tab w:val="num" w:pos="3600"/>
        </w:tabs>
        <w:ind w:left="3600" w:hanging="360"/>
      </w:pPr>
      <w:rPr>
        <w:rFonts w:ascii="Times New Roman" w:hAnsi="Times New Roman" w:hint="default"/>
      </w:rPr>
    </w:lvl>
    <w:lvl w:ilvl="5" w:tplc="C206E566" w:tentative="1">
      <w:start w:val="1"/>
      <w:numFmt w:val="bullet"/>
      <w:lvlText w:val="-"/>
      <w:lvlJc w:val="left"/>
      <w:pPr>
        <w:tabs>
          <w:tab w:val="num" w:pos="4320"/>
        </w:tabs>
        <w:ind w:left="4320" w:hanging="360"/>
      </w:pPr>
      <w:rPr>
        <w:rFonts w:ascii="Times New Roman" w:hAnsi="Times New Roman" w:hint="default"/>
      </w:rPr>
    </w:lvl>
    <w:lvl w:ilvl="6" w:tplc="357AF5D2" w:tentative="1">
      <w:start w:val="1"/>
      <w:numFmt w:val="bullet"/>
      <w:lvlText w:val="-"/>
      <w:lvlJc w:val="left"/>
      <w:pPr>
        <w:tabs>
          <w:tab w:val="num" w:pos="5040"/>
        </w:tabs>
        <w:ind w:left="5040" w:hanging="360"/>
      </w:pPr>
      <w:rPr>
        <w:rFonts w:ascii="Times New Roman" w:hAnsi="Times New Roman" w:hint="default"/>
      </w:rPr>
    </w:lvl>
    <w:lvl w:ilvl="7" w:tplc="07EC466A" w:tentative="1">
      <w:start w:val="1"/>
      <w:numFmt w:val="bullet"/>
      <w:lvlText w:val="-"/>
      <w:lvlJc w:val="left"/>
      <w:pPr>
        <w:tabs>
          <w:tab w:val="num" w:pos="5760"/>
        </w:tabs>
        <w:ind w:left="5760" w:hanging="360"/>
      </w:pPr>
      <w:rPr>
        <w:rFonts w:ascii="Times New Roman" w:hAnsi="Times New Roman" w:hint="default"/>
      </w:rPr>
    </w:lvl>
    <w:lvl w:ilvl="8" w:tplc="A2ECE7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0E264B"/>
    <w:multiLevelType w:val="hybridMultilevel"/>
    <w:tmpl w:val="B0B2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0877"/>
    <w:multiLevelType w:val="hybridMultilevel"/>
    <w:tmpl w:val="BC7EE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E0875"/>
    <w:multiLevelType w:val="multilevel"/>
    <w:tmpl w:val="3DF6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4137D"/>
    <w:multiLevelType w:val="multilevel"/>
    <w:tmpl w:val="BF7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F3E82"/>
    <w:multiLevelType w:val="hybridMultilevel"/>
    <w:tmpl w:val="1CCE8264"/>
    <w:lvl w:ilvl="0" w:tplc="5A9226CE">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D1CE6"/>
    <w:multiLevelType w:val="multilevel"/>
    <w:tmpl w:val="940AB5F4"/>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35328C"/>
    <w:multiLevelType w:val="hybridMultilevel"/>
    <w:tmpl w:val="A802D3F2"/>
    <w:lvl w:ilvl="0" w:tplc="A3488176">
      <w:start w:val="1"/>
      <w:numFmt w:val="decimal"/>
      <w:lvlText w:val="%1."/>
      <w:lvlJc w:val="left"/>
      <w:pPr>
        <w:tabs>
          <w:tab w:val="num" w:pos="720"/>
        </w:tabs>
        <w:ind w:left="720" w:hanging="360"/>
      </w:pPr>
    </w:lvl>
    <w:lvl w:ilvl="1" w:tplc="F77CFB8C" w:tentative="1">
      <w:start w:val="1"/>
      <w:numFmt w:val="decimal"/>
      <w:lvlText w:val="%2."/>
      <w:lvlJc w:val="left"/>
      <w:pPr>
        <w:tabs>
          <w:tab w:val="num" w:pos="1440"/>
        </w:tabs>
        <w:ind w:left="1440" w:hanging="360"/>
      </w:pPr>
    </w:lvl>
    <w:lvl w:ilvl="2" w:tplc="DED668BE" w:tentative="1">
      <w:start w:val="1"/>
      <w:numFmt w:val="decimal"/>
      <w:lvlText w:val="%3."/>
      <w:lvlJc w:val="left"/>
      <w:pPr>
        <w:tabs>
          <w:tab w:val="num" w:pos="2160"/>
        </w:tabs>
        <w:ind w:left="2160" w:hanging="360"/>
      </w:pPr>
    </w:lvl>
    <w:lvl w:ilvl="3" w:tplc="D1FE7B3A" w:tentative="1">
      <w:start w:val="1"/>
      <w:numFmt w:val="decimal"/>
      <w:lvlText w:val="%4."/>
      <w:lvlJc w:val="left"/>
      <w:pPr>
        <w:tabs>
          <w:tab w:val="num" w:pos="2880"/>
        </w:tabs>
        <w:ind w:left="2880" w:hanging="360"/>
      </w:pPr>
    </w:lvl>
    <w:lvl w:ilvl="4" w:tplc="050601A2" w:tentative="1">
      <w:start w:val="1"/>
      <w:numFmt w:val="decimal"/>
      <w:lvlText w:val="%5."/>
      <w:lvlJc w:val="left"/>
      <w:pPr>
        <w:tabs>
          <w:tab w:val="num" w:pos="3600"/>
        </w:tabs>
        <w:ind w:left="3600" w:hanging="360"/>
      </w:pPr>
    </w:lvl>
    <w:lvl w:ilvl="5" w:tplc="EDB287D6" w:tentative="1">
      <w:start w:val="1"/>
      <w:numFmt w:val="decimal"/>
      <w:lvlText w:val="%6."/>
      <w:lvlJc w:val="left"/>
      <w:pPr>
        <w:tabs>
          <w:tab w:val="num" w:pos="4320"/>
        </w:tabs>
        <w:ind w:left="4320" w:hanging="360"/>
      </w:pPr>
    </w:lvl>
    <w:lvl w:ilvl="6" w:tplc="9C9A717C" w:tentative="1">
      <w:start w:val="1"/>
      <w:numFmt w:val="decimal"/>
      <w:lvlText w:val="%7."/>
      <w:lvlJc w:val="left"/>
      <w:pPr>
        <w:tabs>
          <w:tab w:val="num" w:pos="5040"/>
        </w:tabs>
        <w:ind w:left="5040" w:hanging="360"/>
      </w:pPr>
    </w:lvl>
    <w:lvl w:ilvl="7" w:tplc="FBC2E7A2" w:tentative="1">
      <w:start w:val="1"/>
      <w:numFmt w:val="decimal"/>
      <w:lvlText w:val="%8."/>
      <w:lvlJc w:val="left"/>
      <w:pPr>
        <w:tabs>
          <w:tab w:val="num" w:pos="5760"/>
        </w:tabs>
        <w:ind w:left="5760" w:hanging="360"/>
      </w:pPr>
    </w:lvl>
    <w:lvl w:ilvl="8" w:tplc="DB70E90C" w:tentative="1">
      <w:start w:val="1"/>
      <w:numFmt w:val="decimal"/>
      <w:lvlText w:val="%9."/>
      <w:lvlJc w:val="left"/>
      <w:pPr>
        <w:tabs>
          <w:tab w:val="num" w:pos="6480"/>
        </w:tabs>
        <w:ind w:left="6480" w:hanging="360"/>
      </w:pPr>
    </w:lvl>
  </w:abstractNum>
  <w:abstractNum w:abstractNumId="11" w15:restartNumberingAfterBreak="0">
    <w:nsid w:val="4C616B63"/>
    <w:multiLevelType w:val="hybridMultilevel"/>
    <w:tmpl w:val="BE3690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874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5904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1426FC"/>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5" w15:restartNumberingAfterBreak="0">
    <w:nsid w:val="51457D21"/>
    <w:multiLevelType w:val="hybridMultilevel"/>
    <w:tmpl w:val="F7E0E6E0"/>
    <w:lvl w:ilvl="0" w:tplc="CA8CE1A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D35F74"/>
    <w:multiLevelType w:val="multilevel"/>
    <w:tmpl w:val="7416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D459A"/>
    <w:multiLevelType w:val="multilevel"/>
    <w:tmpl w:val="0E88F6DA"/>
    <w:lvl w:ilvl="0">
      <w:start w:val="1"/>
      <w:numFmt w:val="upperLetter"/>
      <w:pStyle w:val="Heading1"/>
      <w:lvlText w:val="%1."/>
      <w:lvlJc w:val="left"/>
      <w:pPr>
        <w:ind w:left="0" w:firstLine="0"/>
      </w:pPr>
      <w:rPr>
        <w:rFonts w:hint="default"/>
      </w:rPr>
    </w:lvl>
    <w:lvl w:ilvl="1">
      <w:start w:val="1"/>
      <w:numFmt w:val="decimal"/>
      <w:pStyle w:val="Heading2"/>
      <w:lvlText w:val="%2."/>
      <w:lvlJc w:val="left"/>
      <w:pPr>
        <w:ind w:left="720" w:firstLine="0"/>
      </w:pPr>
      <w:rPr>
        <w:rFonts w:hint="default"/>
      </w:rPr>
    </w:lvl>
    <w:lvl w:ilvl="2">
      <w:start w:val="1"/>
      <w:numFmt w:val="lowerRoman"/>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8" w15:restartNumberingAfterBreak="0">
    <w:nsid w:val="6B852912"/>
    <w:multiLevelType w:val="multilevel"/>
    <w:tmpl w:val="7416C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9" w15:restartNumberingAfterBreak="0">
    <w:nsid w:val="71202386"/>
    <w:multiLevelType w:val="hybridMultilevel"/>
    <w:tmpl w:val="CDE0ABBE"/>
    <w:lvl w:ilvl="0" w:tplc="4C54969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91EFD"/>
    <w:multiLevelType w:val="multilevel"/>
    <w:tmpl w:val="AD8C8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4F0C75"/>
    <w:multiLevelType w:val="hybridMultilevel"/>
    <w:tmpl w:val="F8183FBC"/>
    <w:lvl w:ilvl="0" w:tplc="C574AD8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12FF5"/>
    <w:multiLevelType w:val="hybridMultilevel"/>
    <w:tmpl w:val="AFA84654"/>
    <w:lvl w:ilvl="0" w:tplc="8062B942">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C767D44"/>
    <w:multiLevelType w:val="hybridMultilevel"/>
    <w:tmpl w:val="FFFFFFFF"/>
    <w:lvl w:ilvl="0" w:tplc="4992FDD2">
      <w:start w:val="1"/>
      <w:numFmt w:val="lowerRoman"/>
      <w:lvlText w:val="(%1)"/>
      <w:lvlJc w:val="left"/>
      <w:pPr>
        <w:ind w:left="720" w:hanging="360"/>
      </w:pPr>
    </w:lvl>
    <w:lvl w:ilvl="1" w:tplc="EEEEB84E">
      <w:start w:val="1"/>
      <w:numFmt w:val="lowerLetter"/>
      <w:lvlText w:val="%2."/>
      <w:lvlJc w:val="left"/>
      <w:pPr>
        <w:ind w:left="1440" w:hanging="360"/>
      </w:pPr>
    </w:lvl>
    <w:lvl w:ilvl="2" w:tplc="0C0A337E">
      <w:start w:val="1"/>
      <w:numFmt w:val="lowerRoman"/>
      <w:lvlText w:val="%3."/>
      <w:lvlJc w:val="right"/>
      <w:pPr>
        <w:ind w:left="2160" w:hanging="180"/>
      </w:pPr>
    </w:lvl>
    <w:lvl w:ilvl="3" w:tplc="C8725578">
      <w:start w:val="1"/>
      <w:numFmt w:val="decimal"/>
      <w:lvlText w:val="%4."/>
      <w:lvlJc w:val="left"/>
      <w:pPr>
        <w:ind w:left="2880" w:hanging="360"/>
      </w:pPr>
    </w:lvl>
    <w:lvl w:ilvl="4" w:tplc="6A047778">
      <w:start w:val="1"/>
      <w:numFmt w:val="lowerLetter"/>
      <w:lvlText w:val="%5."/>
      <w:lvlJc w:val="left"/>
      <w:pPr>
        <w:ind w:left="3600" w:hanging="360"/>
      </w:pPr>
    </w:lvl>
    <w:lvl w:ilvl="5" w:tplc="AADAF67A">
      <w:start w:val="1"/>
      <w:numFmt w:val="lowerRoman"/>
      <w:lvlText w:val="%6."/>
      <w:lvlJc w:val="right"/>
      <w:pPr>
        <w:ind w:left="4320" w:hanging="180"/>
      </w:pPr>
    </w:lvl>
    <w:lvl w:ilvl="6" w:tplc="270ED164">
      <w:start w:val="1"/>
      <w:numFmt w:val="decimal"/>
      <w:lvlText w:val="%7."/>
      <w:lvlJc w:val="left"/>
      <w:pPr>
        <w:ind w:left="5040" w:hanging="360"/>
      </w:pPr>
    </w:lvl>
    <w:lvl w:ilvl="7" w:tplc="7CE042CA">
      <w:start w:val="1"/>
      <w:numFmt w:val="lowerLetter"/>
      <w:lvlText w:val="%8."/>
      <w:lvlJc w:val="left"/>
      <w:pPr>
        <w:ind w:left="5760" w:hanging="360"/>
      </w:pPr>
    </w:lvl>
    <w:lvl w:ilvl="8" w:tplc="A3CE8C58">
      <w:start w:val="1"/>
      <w:numFmt w:val="lowerRoman"/>
      <w:lvlText w:val="%9."/>
      <w:lvlJc w:val="right"/>
      <w:pPr>
        <w:ind w:left="6480" w:hanging="180"/>
      </w:pPr>
    </w:lvl>
  </w:abstractNum>
  <w:num w:numId="1">
    <w:abstractNumId w:val="14"/>
  </w:num>
  <w:num w:numId="2">
    <w:abstractNumId w:val="17"/>
  </w:num>
  <w:num w:numId="3">
    <w:abstractNumId w:val="20"/>
  </w:num>
  <w:num w:numId="4">
    <w:abstractNumId w:val="9"/>
  </w:num>
  <w:num w:numId="5">
    <w:abstractNumId w:val="1"/>
  </w:num>
  <w:num w:numId="6">
    <w:abstractNumId w:val="10"/>
  </w:num>
  <w:num w:numId="7">
    <w:abstractNumId w:val="3"/>
  </w:num>
  <w:num w:numId="8">
    <w:abstractNumId w:val="4"/>
  </w:num>
  <w:num w:numId="9">
    <w:abstractNumId w:val="0"/>
  </w:num>
  <w:num w:numId="10">
    <w:abstractNumId w:val="2"/>
  </w:num>
  <w:num w:numId="11">
    <w:abstractNumId w:val="13"/>
  </w:num>
  <w:num w:numId="12">
    <w:abstractNumId w:val="21"/>
  </w:num>
  <w:num w:numId="13">
    <w:abstractNumId w:val="8"/>
  </w:num>
  <w:num w:numId="14">
    <w:abstractNumId w:val="15"/>
  </w:num>
  <w:num w:numId="15">
    <w:abstractNumId w:val="16"/>
  </w:num>
  <w:num w:numId="16">
    <w:abstractNumId w:val="5"/>
  </w:num>
  <w:num w:numId="17">
    <w:abstractNumId w:val="12"/>
  </w:num>
  <w:num w:numId="18">
    <w:abstractNumId w:val="11"/>
  </w:num>
  <w:num w:numId="19">
    <w:abstractNumId w:val="19"/>
  </w:num>
  <w:num w:numId="20">
    <w:abstractNumId w:val="23"/>
  </w:num>
  <w:num w:numId="21">
    <w:abstractNumId w:val="22"/>
  </w:num>
  <w:num w:numId="22">
    <w:abstractNumId w:val="6"/>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39"/>
    <w:rsid w:val="00005515"/>
    <w:rsid w:val="00010DF1"/>
    <w:rsid w:val="000111A3"/>
    <w:rsid w:val="00017166"/>
    <w:rsid w:val="00023AEF"/>
    <w:rsid w:val="00025148"/>
    <w:rsid w:val="000368E3"/>
    <w:rsid w:val="00047224"/>
    <w:rsid w:val="00053829"/>
    <w:rsid w:val="000544EC"/>
    <w:rsid w:val="0006538E"/>
    <w:rsid w:val="00090E75"/>
    <w:rsid w:val="0009443A"/>
    <w:rsid w:val="000A0D6C"/>
    <w:rsid w:val="000D5811"/>
    <w:rsid w:val="000D73A0"/>
    <w:rsid w:val="000E195E"/>
    <w:rsid w:val="000F60F4"/>
    <w:rsid w:val="00105767"/>
    <w:rsid w:val="001205E9"/>
    <w:rsid w:val="00125FFB"/>
    <w:rsid w:val="001336E0"/>
    <w:rsid w:val="0013735B"/>
    <w:rsid w:val="00144E29"/>
    <w:rsid w:val="00145E31"/>
    <w:rsid w:val="00147224"/>
    <w:rsid w:val="00156E64"/>
    <w:rsid w:val="0016507F"/>
    <w:rsid w:val="00165D85"/>
    <w:rsid w:val="00170AEA"/>
    <w:rsid w:val="001736DD"/>
    <w:rsid w:val="00181BD3"/>
    <w:rsid w:val="001C5C7B"/>
    <w:rsid w:val="001E41CC"/>
    <w:rsid w:val="001F2A7E"/>
    <w:rsid w:val="001F5B8E"/>
    <w:rsid w:val="0022620F"/>
    <w:rsid w:val="002416DE"/>
    <w:rsid w:val="00276811"/>
    <w:rsid w:val="002776CA"/>
    <w:rsid w:val="00293DF0"/>
    <w:rsid w:val="00294700"/>
    <w:rsid w:val="002A43B1"/>
    <w:rsid w:val="002B6C6E"/>
    <w:rsid w:val="002D1AF7"/>
    <w:rsid w:val="002D24FA"/>
    <w:rsid w:val="002D2FF2"/>
    <w:rsid w:val="002D6685"/>
    <w:rsid w:val="002F397F"/>
    <w:rsid w:val="003013F5"/>
    <w:rsid w:val="00301FB6"/>
    <w:rsid w:val="00323081"/>
    <w:rsid w:val="00346224"/>
    <w:rsid w:val="00357132"/>
    <w:rsid w:val="00363AAA"/>
    <w:rsid w:val="00365B64"/>
    <w:rsid w:val="00367BCA"/>
    <w:rsid w:val="003701F2"/>
    <w:rsid w:val="00370FC1"/>
    <w:rsid w:val="00377F27"/>
    <w:rsid w:val="0038064E"/>
    <w:rsid w:val="00397D6E"/>
    <w:rsid w:val="003B26FA"/>
    <w:rsid w:val="003B7513"/>
    <w:rsid w:val="003C0EC3"/>
    <w:rsid w:val="003C2691"/>
    <w:rsid w:val="00405681"/>
    <w:rsid w:val="00412F4B"/>
    <w:rsid w:val="0041673B"/>
    <w:rsid w:val="0041680B"/>
    <w:rsid w:val="004232C6"/>
    <w:rsid w:val="00425236"/>
    <w:rsid w:val="00434A32"/>
    <w:rsid w:val="00446AEF"/>
    <w:rsid w:val="00463AAA"/>
    <w:rsid w:val="00484C65"/>
    <w:rsid w:val="004A5AEB"/>
    <w:rsid w:val="004B1A57"/>
    <w:rsid w:val="004B201E"/>
    <w:rsid w:val="004C6DF1"/>
    <w:rsid w:val="004D3887"/>
    <w:rsid w:val="004D599B"/>
    <w:rsid w:val="004D59CB"/>
    <w:rsid w:val="004E368C"/>
    <w:rsid w:val="004F0BB9"/>
    <w:rsid w:val="004F794C"/>
    <w:rsid w:val="00503FDA"/>
    <w:rsid w:val="0051110A"/>
    <w:rsid w:val="00516EF2"/>
    <w:rsid w:val="005352E2"/>
    <w:rsid w:val="00536948"/>
    <w:rsid w:val="00545253"/>
    <w:rsid w:val="00545A7A"/>
    <w:rsid w:val="00551932"/>
    <w:rsid w:val="00573B5A"/>
    <w:rsid w:val="00585D21"/>
    <w:rsid w:val="00586BCA"/>
    <w:rsid w:val="005A441D"/>
    <w:rsid w:val="005B0954"/>
    <w:rsid w:val="005B34E6"/>
    <w:rsid w:val="005F740F"/>
    <w:rsid w:val="00601257"/>
    <w:rsid w:val="0060186A"/>
    <w:rsid w:val="00607FA4"/>
    <w:rsid w:val="00625961"/>
    <w:rsid w:val="00642AB3"/>
    <w:rsid w:val="00647FDA"/>
    <w:rsid w:val="00655C46"/>
    <w:rsid w:val="00662A0E"/>
    <w:rsid w:val="00665303"/>
    <w:rsid w:val="00665833"/>
    <w:rsid w:val="00667239"/>
    <w:rsid w:val="006810E7"/>
    <w:rsid w:val="00682CA4"/>
    <w:rsid w:val="00687CF3"/>
    <w:rsid w:val="0069063C"/>
    <w:rsid w:val="006907D4"/>
    <w:rsid w:val="00695835"/>
    <w:rsid w:val="006A0C90"/>
    <w:rsid w:val="006B1DE8"/>
    <w:rsid w:val="006C62D1"/>
    <w:rsid w:val="006E0451"/>
    <w:rsid w:val="006E0C68"/>
    <w:rsid w:val="006E5D7A"/>
    <w:rsid w:val="006F2738"/>
    <w:rsid w:val="006F598E"/>
    <w:rsid w:val="0070570A"/>
    <w:rsid w:val="00712532"/>
    <w:rsid w:val="00723524"/>
    <w:rsid w:val="00731C9A"/>
    <w:rsid w:val="00741CD1"/>
    <w:rsid w:val="00750CDB"/>
    <w:rsid w:val="007826BC"/>
    <w:rsid w:val="00795FE8"/>
    <w:rsid w:val="007B600B"/>
    <w:rsid w:val="007D4473"/>
    <w:rsid w:val="007E73E4"/>
    <w:rsid w:val="0080160D"/>
    <w:rsid w:val="00803D78"/>
    <w:rsid w:val="0081139F"/>
    <w:rsid w:val="008175FB"/>
    <w:rsid w:val="0082085A"/>
    <w:rsid w:val="008234DB"/>
    <w:rsid w:val="0083032A"/>
    <w:rsid w:val="00846162"/>
    <w:rsid w:val="00863762"/>
    <w:rsid w:val="0086552B"/>
    <w:rsid w:val="0086592C"/>
    <w:rsid w:val="00870779"/>
    <w:rsid w:val="00877E9A"/>
    <w:rsid w:val="008A446F"/>
    <w:rsid w:val="008A60AD"/>
    <w:rsid w:val="008B3A97"/>
    <w:rsid w:val="008D1DD3"/>
    <w:rsid w:val="00915606"/>
    <w:rsid w:val="009306CE"/>
    <w:rsid w:val="00934138"/>
    <w:rsid w:val="00946D3F"/>
    <w:rsid w:val="00953BB1"/>
    <w:rsid w:val="009676BE"/>
    <w:rsid w:val="009731CC"/>
    <w:rsid w:val="00975103"/>
    <w:rsid w:val="00985B51"/>
    <w:rsid w:val="009A67BD"/>
    <w:rsid w:val="009B01BB"/>
    <w:rsid w:val="009B01EE"/>
    <w:rsid w:val="009D1331"/>
    <w:rsid w:val="009D3A1A"/>
    <w:rsid w:val="009E3098"/>
    <w:rsid w:val="00A00116"/>
    <w:rsid w:val="00A11908"/>
    <w:rsid w:val="00A1587E"/>
    <w:rsid w:val="00A257A4"/>
    <w:rsid w:val="00A25F3E"/>
    <w:rsid w:val="00A35302"/>
    <w:rsid w:val="00A4509D"/>
    <w:rsid w:val="00A4663B"/>
    <w:rsid w:val="00A54447"/>
    <w:rsid w:val="00A606D4"/>
    <w:rsid w:val="00A7254D"/>
    <w:rsid w:val="00A72847"/>
    <w:rsid w:val="00A764E2"/>
    <w:rsid w:val="00A76B55"/>
    <w:rsid w:val="00A77A1C"/>
    <w:rsid w:val="00A82EFD"/>
    <w:rsid w:val="00A8607D"/>
    <w:rsid w:val="00A97695"/>
    <w:rsid w:val="00A97B79"/>
    <w:rsid w:val="00AA2A90"/>
    <w:rsid w:val="00AD507A"/>
    <w:rsid w:val="00AF6983"/>
    <w:rsid w:val="00B1792F"/>
    <w:rsid w:val="00B24E50"/>
    <w:rsid w:val="00B3099C"/>
    <w:rsid w:val="00B40481"/>
    <w:rsid w:val="00B43E75"/>
    <w:rsid w:val="00B5072A"/>
    <w:rsid w:val="00B517CB"/>
    <w:rsid w:val="00B548D1"/>
    <w:rsid w:val="00B571E3"/>
    <w:rsid w:val="00B5738D"/>
    <w:rsid w:val="00B6127C"/>
    <w:rsid w:val="00B64003"/>
    <w:rsid w:val="00B73AAB"/>
    <w:rsid w:val="00B83E9E"/>
    <w:rsid w:val="00BA5B28"/>
    <w:rsid w:val="00BC273C"/>
    <w:rsid w:val="00BC4442"/>
    <w:rsid w:val="00BF192E"/>
    <w:rsid w:val="00BF4F8B"/>
    <w:rsid w:val="00C016D9"/>
    <w:rsid w:val="00C1497D"/>
    <w:rsid w:val="00C369DA"/>
    <w:rsid w:val="00C36D5E"/>
    <w:rsid w:val="00C62358"/>
    <w:rsid w:val="00C63720"/>
    <w:rsid w:val="00C70566"/>
    <w:rsid w:val="00C856F0"/>
    <w:rsid w:val="00C97641"/>
    <w:rsid w:val="00CB166F"/>
    <w:rsid w:val="00CD2276"/>
    <w:rsid w:val="00CE077C"/>
    <w:rsid w:val="00CE1E90"/>
    <w:rsid w:val="00CF1566"/>
    <w:rsid w:val="00CF183C"/>
    <w:rsid w:val="00D03737"/>
    <w:rsid w:val="00D45998"/>
    <w:rsid w:val="00D47AE3"/>
    <w:rsid w:val="00D7570C"/>
    <w:rsid w:val="00D77D87"/>
    <w:rsid w:val="00D846A0"/>
    <w:rsid w:val="00D9172E"/>
    <w:rsid w:val="00DA3298"/>
    <w:rsid w:val="00DA6B33"/>
    <w:rsid w:val="00DB53DE"/>
    <w:rsid w:val="00DC3829"/>
    <w:rsid w:val="00DD7A4B"/>
    <w:rsid w:val="00DE54C0"/>
    <w:rsid w:val="00DF25B1"/>
    <w:rsid w:val="00DF5AD3"/>
    <w:rsid w:val="00E00562"/>
    <w:rsid w:val="00E01A0F"/>
    <w:rsid w:val="00E021C3"/>
    <w:rsid w:val="00E11FA1"/>
    <w:rsid w:val="00E36F05"/>
    <w:rsid w:val="00E443C6"/>
    <w:rsid w:val="00E4592C"/>
    <w:rsid w:val="00E5145A"/>
    <w:rsid w:val="00E530DB"/>
    <w:rsid w:val="00E80D47"/>
    <w:rsid w:val="00E878C4"/>
    <w:rsid w:val="00E8794A"/>
    <w:rsid w:val="00EB1D63"/>
    <w:rsid w:val="00EC2B6B"/>
    <w:rsid w:val="00ED5F1C"/>
    <w:rsid w:val="00EF428B"/>
    <w:rsid w:val="00F147A8"/>
    <w:rsid w:val="00F20202"/>
    <w:rsid w:val="00F22A73"/>
    <w:rsid w:val="00F334A9"/>
    <w:rsid w:val="00F53A07"/>
    <w:rsid w:val="00F61B1E"/>
    <w:rsid w:val="00F65CB7"/>
    <w:rsid w:val="00F77EF2"/>
    <w:rsid w:val="00F92A65"/>
    <w:rsid w:val="00F95EED"/>
    <w:rsid w:val="00FD05E5"/>
    <w:rsid w:val="00FD6A23"/>
    <w:rsid w:val="00FE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887"/>
  <w15:chartTrackingRefBased/>
  <w15:docId w15:val="{CF21F1CD-5806-48E4-8807-39CBC5A5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32"/>
  </w:style>
  <w:style w:type="paragraph" w:styleId="Heading1">
    <w:name w:val="heading 1"/>
    <w:basedOn w:val="Normal"/>
    <w:next w:val="Normal"/>
    <w:link w:val="Heading1Char"/>
    <w:uiPriority w:val="9"/>
    <w:qFormat/>
    <w:rsid w:val="00712532"/>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2532"/>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2532"/>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2532"/>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1253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1253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1253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1253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253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5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25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25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125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1253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1253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1253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125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1253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12532"/>
    <w:rPr>
      <w:sz w:val="16"/>
      <w:szCs w:val="16"/>
    </w:rPr>
  </w:style>
  <w:style w:type="paragraph" w:styleId="CommentText">
    <w:name w:val="annotation text"/>
    <w:basedOn w:val="Normal"/>
    <w:link w:val="CommentTextChar"/>
    <w:uiPriority w:val="99"/>
    <w:unhideWhenUsed/>
    <w:rsid w:val="00712532"/>
    <w:pPr>
      <w:spacing w:line="240" w:lineRule="auto"/>
    </w:pPr>
    <w:rPr>
      <w:sz w:val="20"/>
      <w:szCs w:val="20"/>
    </w:rPr>
  </w:style>
  <w:style w:type="character" w:customStyle="1" w:styleId="CommentTextChar">
    <w:name w:val="Comment Text Char"/>
    <w:basedOn w:val="DefaultParagraphFont"/>
    <w:link w:val="CommentText"/>
    <w:uiPriority w:val="99"/>
    <w:rsid w:val="00712532"/>
    <w:rPr>
      <w:sz w:val="20"/>
      <w:szCs w:val="20"/>
    </w:rPr>
  </w:style>
  <w:style w:type="paragraph" w:customStyle="1" w:styleId="Normal1">
    <w:name w:val="Normal1"/>
    <w:basedOn w:val="Normal"/>
    <w:link w:val="Normal1Char"/>
    <w:qFormat/>
    <w:rsid w:val="00712532"/>
    <w:rPr>
      <w:rFonts w:ascii="Arial" w:hAnsi="Arial" w:cs="Arial"/>
      <w:color w:val="222222"/>
      <w:sz w:val="20"/>
      <w:szCs w:val="20"/>
      <w:shd w:val="clear" w:color="auto" w:fill="FFFFFF"/>
    </w:rPr>
  </w:style>
  <w:style w:type="character" w:customStyle="1" w:styleId="Normal1Char">
    <w:name w:val="Normal1 Char"/>
    <w:basedOn w:val="DefaultParagraphFont"/>
    <w:link w:val="Normal1"/>
    <w:rsid w:val="00712532"/>
    <w:rPr>
      <w:rFonts w:ascii="Arial" w:hAnsi="Arial" w:cs="Arial"/>
      <w:color w:val="222222"/>
      <w:sz w:val="20"/>
      <w:szCs w:val="20"/>
    </w:rPr>
  </w:style>
  <w:style w:type="paragraph" w:styleId="Title">
    <w:name w:val="Title"/>
    <w:basedOn w:val="Normal"/>
    <w:next w:val="Normal"/>
    <w:link w:val="TitleChar"/>
    <w:uiPriority w:val="10"/>
    <w:qFormat/>
    <w:rsid w:val="001472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22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147224"/>
    <w:pPr>
      <w:ind w:left="720"/>
      <w:contextualSpacing/>
    </w:pPr>
  </w:style>
  <w:style w:type="paragraph" w:customStyle="1" w:styleId="Style2">
    <w:name w:val="Style2"/>
    <w:basedOn w:val="ListParagraph"/>
    <w:link w:val="Style2Char"/>
    <w:qFormat/>
    <w:rsid w:val="00147224"/>
    <w:pPr>
      <w:numPr>
        <w:ilvl w:val="1"/>
        <w:numId w:val="4"/>
      </w:numPr>
      <w:tabs>
        <w:tab w:val="num" w:pos="360"/>
      </w:tabs>
      <w:ind w:left="720" w:firstLine="0"/>
    </w:pPr>
    <w:rPr>
      <w:rFonts w:ascii="Arial" w:hAnsi="Arial" w:cs="Arial"/>
      <w:b/>
      <w:bCs/>
      <w:color w:val="222222"/>
      <w:sz w:val="20"/>
      <w:szCs w:val="20"/>
      <w:shd w:val="clear" w:color="auto" w:fill="FFFFFF"/>
    </w:rPr>
  </w:style>
  <w:style w:type="paragraph" w:customStyle="1" w:styleId="Style1">
    <w:name w:val="Style1"/>
    <w:basedOn w:val="ListParagraph"/>
    <w:link w:val="Style1Char"/>
    <w:qFormat/>
    <w:rsid w:val="00147224"/>
    <w:pPr>
      <w:numPr>
        <w:numId w:val="4"/>
      </w:numPr>
    </w:pPr>
    <w:rPr>
      <w:rFonts w:ascii="Arial" w:hAnsi="Arial" w:cs="Arial"/>
      <w:b/>
      <w:bCs/>
      <w:color w:val="222222"/>
      <w:sz w:val="20"/>
      <w:szCs w:val="20"/>
      <w:shd w:val="clear" w:color="auto" w:fill="FFFFFF"/>
    </w:rPr>
  </w:style>
  <w:style w:type="character" w:customStyle="1" w:styleId="ListParagraphChar">
    <w:name w:val="List Paragraph Char"/>
    <w:basedOn w:val="DefaultParagraphFont"/>
    <w:link w:val="ListParagraph"/>
    <w:uiPriority w:val="34"/>
    <w:rsid w:val="00147224"/>
  </w:style>
  <w:style w:type="character" w:customStyle="1" w:styleId="Style1Char">
    <w:name w:val="Style1 Char"/>
    <w:basedOn w:val="ListParagraphChar"/>
    <w:link w:val="Style1"/>
    <w:rsid w:val="00147224"/>
    <w:rPr>
      <w:rFonts w:ascii="Arial" w:hAnsi="Arial" w:cs="Arial"/>
      <w:b/>
      <w:bCs/>
      <w:color w:val="222222"/>
      <w:sz w:val="20"/>
      <w:szCs w:val="20"/>
    </w:rPr>
  </w:style>
  <w:style w:type="paragraph" w:customStyle="1" w:styleId="Style3">
    <w:name w:val="Style3"/>
    <w:basedOn w:val="ListParagraph"/>
    <w:link w:val="Style3Char"/>
    <w:qFormat/>
    <w:rsid w:val="00147224"/>
    <w:pPr>
      <w:numPr>
        <w:ilvl w:val="2"/>
        <w:numId w:val="4"/>
      </w:numPr>
      <w:tabs>
        <w:tab w:val="num" w:pos="360"/>
      </w:tabs>
      <w:ind w:left="720" w:firstLine="0"/>
    </w:pPr>
    <w:rPr>
      <w:rFonts w:ascii="Arial" w:hAnsi="Arial" w:cs="Arial"/>
      <w:i/>
      <w:iCs/>
      <w:color w:val="222222"/>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147224"/>
    <w:rPr>
      <w:b/>
      <w:bCs/>
    </w:rPr>
  </w:style>
  <w:style w:type="character" w:customStyle="1" w:styleId="CommentSubjectChar">
    <w:name w:val="Comment Subject Char"/>
    <w:basedOn w:val="CommentTextChar"/>
    <w:link w:val="CommentSubject"/>
    <w:uiPriority w:val="99"/>
    <w:semiHidden/>
    <w:rsid w:val="00147224"/>
    <w:rPr>
      <w:b/>
      <w:bCs/>
      <w:sz w:val="20"/>
      <w:szCs w:val="20"/>
    </w:rPr>
  </w:style>
  <w:style w:type="paragraph" w:styleId="FootnoteText">
    <w:name w:val="footnote text"/>
    <w:basedOn w:val="Normal"/>
    <w:link w:val="FootnoteTextChar"/>
    <w:uiPriority w:val="99"/>
    <w:semiHidden/>
    <w:unhideWhenUsed/>
    <w:rsid w:val="00147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7224"/>
    <w:rPr>
      <w:sz w:val="20"/>
      <w:szCs w:val="20"/>
    </w:rPr>
  </w:style>
  <w:style w:type="character" w:styleId="FootnoteReference">
    <w:name w:val="footnote reference"/>
    <w:basedOn w:val="DefaultParagraphFont"/>
    <w:uiPriority w:val="99"/>
    <w:semiHidden/>
    <w:unhideWhenUsed/>
    <w:rsid w:val="00147224"/>
    <w:rPr>
      <w:vertAlign w:val="superscript"/>
    </w:rPr>
  </w:style>
  <w:style w:type="character" w:styleId="Hyperlink">
    <w:name w:val="Hyperlink"/>
    <w:basedOn w:val="DefaultParagraphFont"/>
    <w:uiPriority w:val="99"/>
    <w:unhideWhenUsed/>
    <w:rsid w:val="00147224"/>
    <w:rPr>
      <w:color w:val="0563C1" w:themeColor="hyperlink"/>
      <w:u w:val="single"/>
    </w:rPr>
  </w:style>
  <w:style w:type="character" w:styleId="UnresolvedMention">
    <w:name w:val="Unresolved Mention"/>
    <w:basedOn w:val="DefaultParagraphFont"/>
    <w:uiPriority w:val="99"/>
    <w:semiHidden/>
    <w:unhideWhenUsed/>
    <w:rsid w:val="00147224"/>
    <w:rPr>
      <w:color w:val="605E5C"/>
      <w:shd w:val="clear" w:color="auto" w:fill="E1DFDD"/>
    </w:rPr>
  </w:style>
  <w:style w:type="character" w:styleId="FollowedHyperlink">
    <w:name w:val="FollowedHyperlink"/>
    <w:basedOn w:val="DefaultParagraphFont"/>
    <w:uiPriority w:val="99"/>
    <w:semiHidden/>
    <w:unhideWhenUsed/>
    <w:rsid w:val="00147224"/>
    <w:rPr>
      <w:color w:val="954F72" w:themeColor="followedHyperlink"/>
      <w:u w:val="single"/>
    </w:rPr>
  </w:style>
  <w:style w:type="paragraph" w:styleId="NormalWeb">
    <w:name w:val="Normal (Web)"/>
    <w:basedOn w:val="Normal"/>
    <w:uiPriority w:val="99"/>
    <w:unhideWhenUsed/>
    <w:rsid w:val="001472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147224"/>
    <w:rPr>
      <w:color w:val="808080"/>
    </w:rPr>
  </w:style>
  <w:style w:type="paragraph" w:styleId="Header">
    <w:name w:val="header"/>
    <w:basedOn w:val="Normal"/>
    <w:link w:val="HeaderChar"/>
    <w:uiPriority w:val="99"/>
    <w:unhideWhenUsed/>
    <w:rsid w:val="00147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24"/>
  </w:style>
  <w:style w:type="paragraph" w:styleId="Footer">
    <w:name w:val="footer"/>
    <w:basedOn w:val="Normal"/>
    <w:link w:val="FooterChar"/>
    <w:uiPriority w:val="99"/>
    <w:unhideWhenUsed/>
    <w:rsid w:val="00147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24"/>
  </w:style>
  <w:style w:type="character" w:styleId="SubtleEmphasis">
    <w:name w:val="Subtle Emphasis"/>
    <w:basedOn w:val="DefaultParagraphFont"/>
    <w:uiPriority w:val="19"/>
    <w:qFormat/>
    <w:rsid w:val="00147224"/>
    <w:rPr>
      <w:i/>
      <w:iCs/>
      <w:color w:val="404040" w:themeColor="text1" w:themeTint="BF"/>
    </w:rPr>
  </w:style>
  <w:style w:type="character" w:customStyle="1" w:styleId="Style2Char">
    <w:name w:val="Style2 Char"/>
    <w:basedOn w:val="ListParagraphChar"/>
    <w:link w:val="Style2"/>
    <w:rsid w:val="00147224"/>
    <w:rPr>
      <w:rFonts w:ascii="Arial" w:hAnsi="Arial" w:cs="Arial"/>
      <w:b/>
      <w:bCs/>
      <w:color w:val="222222"/>
      <w:sz w:val="20"/>
      <w:szCs w:val="20"/>
    </w:rPr>
  </w:style>
  <w:style w:type="paragraph" w:customStyle="1" w:styleId="Title1">
    <w:name w:val="Title1"/>
    <w:basedOn w:val="Normal"/>
    <w:link w:val="Title1Char"/>
    <w:qFormat/>
    <w:rsid w:val="00147224"/>
    <w:pPr>
      <w:jc w:val="center"/>
    </w:pPr>
    <w:rPr>
      <w:rFonts w:ascii="Arial" w:hAnsi="Arial" w:cs="Arial"/>
      <w:b/>
      <w:bCs/>
      <w:color w:val="222222"/>
      <w:sz w:val="24"/>
      <w:szCs w:val="24"/>
      <w:shd w:val="clear" w:color="auto" w:fill="FFFFFF"/>
    </w:rPr>
  </w:style>
  <w:style w:type="character" w:customStyle="1" w:styleId="Title1Char">
    <w:name w:val="Title1 Char"/>
    <w:basedOn w:val="DefaultParagraphFont"/>
    <w:link w:val="Title1"/>
    <w:rsid w:val="00147224"/>
    <w:rPr>
      <w:rFonts w:ascii="Arial" w:hAnsi="Arial" w:cs="Arial"/>
      <w:b/>
      <w:bCs/>
      <w:color w:val="222222"/>
      <w:sz w:val="24"/>
      <w:szCs w:val="24"/>
    </w:rPr>
  </w:style>
  <w:style w:type="paragraph" w:customStyle="1" w:styleId="References">
    <w:name w:val="References"/>
    <w:basedOn w:val="Normal"/>
    <w:link w:val="ReferencesChar"/>
    <w:qFormat/>
    <w:rsid w:val="00147224"/>
    <w:pPr>
      <w:autoSpaceDE w:val="0"/>
      <w:autoSpaceDN w:val="0"/>
      <w:adjustRightInd w:val="0"/>
      <w:spacing w:after="0" w:line="240" w:lineRule="auto"/>
    </w:pPr>
    <w:rPr>
      <w:rFonts w:ascii="AdvGulliv-R" w:hAnsi="AdvGulliv-R" w:cs="AdvGulliv-R"/>
      <w:color w:val="000000"/>
      <w:sz w:val="19"/>
      <w:szCs w:val="19"/>
      <w:lang w:val="fr-FR"/>
    </w:rPr>
  </w:style>
  <w:style w:type="character" w:customStyle="1" w:styleId="Style3Char">
    <w:name w:val="Style3 Char"/>
    <w:basedOn w:val="ListParagraphChar"/>
    <w:link w:val="Style3"/>
    <w:rsid w:val="00147224"/>
    <w:rPr>
      <w:rFonts w:ascii="Arial" w:hAnsi="Arial" w:cs="Arial"/>
      <w:i/>
      <w:iCs/>
      <w:color w:val="222222"/>
      <w:sz w:val="20"/>
      <w:szCs w:val="20"/>
    </w:rPr>
  </w:style>
  <w:style w:type="paragraph" w:styleId="Revision">
    <w:name w:val="Revision"/>
    <w:hidden/>
    <w:uiPriority w:val="99"/>
    <w:semiHidden/>
    <w:rsid w:val="00147224"/>
    <w:pPr>
      <w:spacing w:after="0" w:line="240" w:lineRule="auto"/>
    </w:pPr>
  </w:style>
  <w:style w:type="character" w:customStyle="1" w:styleId="ReferencesChar">
    <w:name w:val="References Char"/>
    <w:basedOn w:val="DefaultParagraphFont"/>
    <w:link w:val="References"/>
    <w:rsid w:val="00147224"/>
    <w:rPr>
      <w:rFonts w:ascii="AdvGulliv-R" w:hAnsi="AdvGulliv-R" w:cs="AdvGulliv-R"/>
      <w:color w:val="000000"/>
      <w:sz w:val="19"/>
      <w:szCs w:val="19"/>
      <w:lang w:val="fr-FR"/>
    </w:rPr>
  </w:style>
  <w:style w:type="paragraph" w:styleId="Subtitle">
    <w:name w:val="Subtitle"/>
    <w:basedOn w:val="Normal"/>
    <w:next w:val="Normal"/>
    <w:link w:val="SubtitleChar"/>
    <w:uiPriority w:val="11"/>
    <w:qFormat/>
    <w:rsid w:val="001472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47224"/>
    <w:rPr>
      <w:rFonts w:eastAsiaTheme="minorEastAsia"/>
      <w:color w:val="5A5A5A" w:themeColor="text1" w:themeTint="A5"/>
      <w:spacing w:val="15"/>
    </w:rPr>
  </w:style>
  <w:style w:type="table" w:styleId="TableGrid">
    <w:name w:val="Table Grid"/>
    <w:basedOn w:val="TableNormal"/>
    <w:uiPriority w:val="39"/>
    <w:rsid w:val="0014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472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7224"/>
    <w:rPr>
      <w:sz w:val="20"/>
      <w:szCs w:val="20"/>
    </w:rPr>
  </w:style>
  <w:style w:type="character" w:styleId="EndnoteReference">
    <w:name w:val="endnote reference"/>
    <w:basedOn w:val="DefaultParagraphFont"/>
    <w:uiPriority w:val="99"/>
    <w:semiHidden/>
    <w:unhideWhenUsed/>
    <w:rsid w:val="00147224"/>
    <w:rPr>
      <w:vertAlign w:val="superscript"/>
    </w:rPr>
  </w:style>
  <w:style w:type="table" w:styleId="PlainTable5">
    <w:name w:val="Plain Table 5"/>
    <w:basedOn w:val="TableNormal"/>
    <w:uiPriority w:val="45"/>
    <w:rsid w:val="001472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i-provider">
    <w:name w:val="ui-provider"/>
    <w:basedOn w:val="DefaultParagraphFont"/>
    <w:rsid w:val="00147224"/>
  </w:style>
  <w:style w:type="paragraph" w:styleId="Caption">
    <w:name w:val="caption"/>
    <w:basedOn w:val="Normal"/>
    <w:next w:val="Normal"/>
    <w:uiPriority w:val="35"/>
    <w:unhideWhenUsed/>
    <w:qFormat/>
    <w:rsid w:val="0014722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47224"/>
    <w:pPr>
      <w:spacing w:after="0"/>
    </w:pPr>
  </w:style>
  <w:style w:type="character" w:styleId="Strong">
    <w:name w:val="Strong"/>
    <w:basedOn w:val="DefaultParagraphFont"/>
    <w:uiPriority w:val="22"/>
    <w:qFormat/>
    <w:rsid w:val="00147224"/>
    <w:rPr>
      <w:b/>
      <w:bCs/>
    </w:rPr>
  </w:style>
  <w:style w:type="character" w:styleId="Emphasis">
    <w:name w:val="Emphasis"/>
    <w:basedOn w:val="DefaultParagraphFont"/>
    <w:uiPriority w:val="20"/>
    <w:qFormat/>
    <w:rsid w:val="003B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61265">
      <w:bodyDiv w:val="1"/>
      <w:marLeft w:val="0"/>
      <w:marRight w:val="0"/>
      <w:marTop w:val="0"/>
      <w:marBottom w:val="0"/>
      <w:divBdr>
        <w:top w:val="none" w:sz="0" w:space="0" w:color="auto"/>
        <w:left w:val="none" w:sz="0" w:space="0" w:color="auto"/>
        <w:bottom w:val="none" w:sz="0" w:space="0" w:color="auto"/>
        <w:right w:val="none" w:sz="0" w:space="0" w:color="auto"/>
      </w:divBdr>
    </w:div>
    <w:div w:id="207227463">
      <w:bodyDiv w:val="1"/>
      <w:marLeft w:val="0"/>
      <w:marRight w:val="0"/>
      <w:marTop w:val="0"/>
      <w:marBottom w:val="0"/>
      <w:divBdr>
        <w:top w:val="none" w:sz="0" w:space="0" w:color="auto"/>
        <w:left w:val="none" w:sz="0" w:space="0" w:color="auto"/>
        <w:bottom w:val="none" w:sz="0" w:space="0" w:color="auto"/>
        <w:right w:val="none" w:sz="0" w:space="0" w:color="auto"/>
      </w:divBdr>
    </w:div>
    <w:div w:id="248733488">
      <w:bodyDiv w:val="1"/>
      <w:marLeft w:val="0"/>
      <w:marRight w:val="0"/>
      <w:marTop w:val="0"/>
      <w:marBottom w:val="0"/>
      <w:divBdr>
        <w:top w:val="none" w:sz="0" w:space="0" w:color="auto"/>
        <w:left w:val="none" w:sz="0" w:space="0" w:color="auto"/>
        <w:bottom w:val="none" w:sz="0" w:space="0" w:color="auto"/>
        <w:right w:val="none" w:sz="0" w:space="0" w:color="auto"/>
      </w:divBdr>
    </w:div>
    <w:div w:id="275797115">
      <w:bodyDiv w:val="1"/>
      <w:marLeft w:val="0"/>
      <w:marRight w:val="0"/>
      <w:marTop w:val="0"/>
      <w:marBottom w:val="0"/>
      <w:divBdr>
        <w:top w:val="none" w:sz="0" w:space="0" w:color="auto"/>
        <w:left w:val="none" w:sz="0" w:space="0" w:color="auto"/>
        <w:bottom w:val="none" w:sz="0" w:space="0" w:color="auto"/>
        <w:right w:val="none" w:sz="0" w:space="0" w:color="auto"/>
      </w:divBdr>
    </w:div>
    <w:div w:id="388917856">
      <w:bodyDiv w:val="1"/>
      <w:marLeft w:val="0"/>
      <w:marRight w:val="0"/>
      <w:marTop w:val="0"/>
      <w:marBottom w:val="0"/>
      <w:divBdr>
        <w:top w:val="none" w:sz="0" w:space="0" w:color="auto"/>
        <w:left w:val="none" w:sz="0" w:space="0" w:color="auto"/>
        <w:bottom w:val="none" w:sz="0" w:space="0" w:color="auto"/>
        <w:right w:val="none" w:sz="0" w:space="0" w:color="auto"/>
      </w:divBdr>
    </w:div>
    <w:div w:id="883374478">
      <w:bodyDiv w:val="1"/>
      <w:marLeft w:val="0"/>
      <w:marRight w:val="0"/>
      <w:marTop w:val="0"/>
      <w:marBottom w:val="0"/>
      <w:divBdr>
        <w:top w:val="none" w:sz="0" w:space="0" w:color="auto"/>
        <w:left w:val="none" w:sz="0" w:space="0" w:color="auto"/>
        <w:bottom w:val="none" w:sz="0" w:space="0" w:color="auto"/>
        <w:right w:val="none" w:sz="0" w:space="0" w:color="auto"/>
      </w:divBdr>
    </w:div>
    <w:div w:id="888804260">
      <w:bodyDiv w:val="1"/>
      <w:marLeft w:val="0"/>
      <w:marRight w:val="0"/>
      <w:marTop w:val="0"/>
      <w:marBottom w:val="0"/>
      <w:divBdr>
        <w:top w:val="none" w:sz="0" w:space="0" w:color="auto"/>
        <w:left w:val="none" w:sz="0" w:space="0" w:color="auto"/>
        <w:bottom w:val="none" w:sz="0" w:space="0" w:color="auto"/>
        <w:right w:val="none" w:sz="0" w:space="0" w:color="auto"/>
      </w:divBdr>
    </w:div>
    <w:div w:id="1055082648">
      <w:bodyDiv w:val="1"/>
      <w:marLeft w:val="0"/>
      <w:marRight w:val="0"/>
      <w:marTop w:val="0"/>
      <w:marBottom w:val="0"/>
      <w:divBdr>
        <w:top w:val="none" w:sz="0" w:space="0" w:color="auto"/>
        <w:left w:val="none" w:sz="0" w:space="0" w:color="auto"/>
        <w:bottom w:val="none" w:sz="0" w:space="0" w:color="auto"/>
        <w:right w:val="none" w:sz="0" w:space="0" w:color="auto"/>
      </w:divBdr>
    </w:div>
    <w:div w:id="1059789735">
      <w:bodyDiv w:val="1"/>
      <w:marLeft w:val="0"/>
      <w:marRight w:val="0"/>
      <w:marTop w:val="0"/>
      <w:marBottom w:val="0"/>
      <w:divBdr>
        <w:top w:val="none" w:sz="0" w:space="0" w:color="auto"/>
        <w:left w:val="none" w:sz="0" w:space="0" w:color="auto"/>
        <w:bottom w:val="none" w:sz="0" w:space="0" w:color="auto"/>
        <w:right w:val="none" w:sz="0" w:space="0" w:color="auto"/>
      </w:divBdr>
    </w:div>
    <w:div w:id="1097990646">
      <w:bodyDiv w:val="1"/>
      <w:marLeft w:val="0"/>
      <w:marRight w:val="0"/>
      <w:marTop w:val="0"/>
      <w:marBottom w:val="0"/>
      <w:divBdr>
        <w:top w:val="none" w:sz="0" w:space="0" w:color="auto"/>
        <w:left w:val="none" w:sz="0" w:space="0" w:color="auto"/>
        <w:bottom w:val="none" w:sz="0" w:space="0" w:color="auto"/>
        <w:right w:val="none" w:sz="0" w:space="0" w:color="auto"/>
      </w:divBdr>
      <w:divsChild>
        <w:div w:id="885609153">
          <w:marLeft w:val="0"/>
          <w:marRight w:val="0"/>
          <w:marTop w:val="0"/>
          <w:marBottom w:val="0"/>
          <w:divBdr>
            <w:top w:val="none" w:sz="0" w:space="0" w:color="auto"/>
            <w:left w:val="none" w:sz="0" w:space="0" w:color="auto"/>
            <w:bottom w:val="none" w:sz="0" w:space="0" w:color="auto"/>
            <w:right w:val="none" w:sz="0" w:space="0" w:color="auto"/>
          </w:divBdr>
          <w:divsChild>
            <w:div w:id="1524899206">
              <w:marLeft w:val="0"/>
              <w:marRight w:val="0"/>
              <w:marTop w:val="0"/>
              <w:marBottom w:val="0"/>
              <w:divBdr>
                <w:top w:val="none" w:sz="0" w:space="0" w:color="auto"/>
                <w:left w:val="none" w:sz="0" w:space="0" w:color="auto"/>
                <w:bottom w:val="none" w:sz="0" w:space="0" w:color="auto"/>
                <w:right w:val="none" w:sz="0" w:space="0" w:color="auto"/>
              </w:divBdr>
            </w:div>
          </w:divsChild>
        </w:div>
        <w:div w:id="1035350408">
          <w:marLeft w:val="0"/>
          <w:marRight w:val="0"/>
          <w:marTop w:val="0"/>
          <w:marBottom w:val="0"/>
          <w:divBdr>
            <w:top w:val="none" w:sz="0" w:space="0" w:color="auto"/>
            <w:left w:val="none" w:sz="0" w:space="0" w:color="auto"/>
            <w:bottom w:val="none" w:sz="0" w:space="0" w:color="auto"/>
            <w:right w:val="none" w:sz="0" w:space="0" w:color="auto"/>
          </w:divBdr>
          <w:divsChild>
            <w:div w:id="14406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247">
      <w:bodyDiv w:val="1"/>
      <w:marLeft w:val="0"/>
      <w:marRight w:val="0"/>
      <w:marTop w:val="0"/>
      <w:marBottom w:val="0"/>
      <w:divBdr>
        <w:top w:val="none" w:sz="0" w:space="0" w:color="auto"/>
        <w:left w:val="none" w:sz="0" w:space="0" w:color="auto"/>
        <w:bottom w:val="none" w:sz="0" w:space="0" w:color="auto"/>
        <w:right w:val="none" w:sz="0" w:space="0" w:color="auto"/>
      </w:divBdr>
    </w:div>
    <w:div w:id="1350567590">
      <w:bodyDiv w:val="1"/>
      <w:marLeft w:val="0"/>
      <w:marRight w:val="0"/>
      <w:marTop w:val="0"/>
      <w:marBottom w:val="0"/>
      <w:divBdr>
        <w:top w:val="none" w:sz="0" w:space="0" w:color="auto"/>
        <w:left w:val="none" w:sz="0" w:space="0" w:color="auto"/>
        <w:bottom w:val="none" w:sz="0" w:space="0" w:color="auto"/>
        <w:right w:val="none" w:sz="0" w:space="0" w:color="auto"/>
      </w:divBdr>
    </w:div>
    <w:div w:id="1404062879">
      <w:bodyDiv w:val="1"/>
      <w:marLeft w:val="0"/>
      <w:marRight w:val="0"/>
      <w:marTop w:val="0"/>
      <w:marBottom w:val="0"/>
      <w:divBdr>
        <w:top w:val="none" w:sz="0" w:space="0" w:color="auto"/>
        <w:left w:val="none" w:sz="0" w:space="0" w:color="auto"/>
        <w:bottom w:val="none" w:sz="0" w:space="0" w:color="auto"/>
        <w:right w:val="none" w:sz="0" w:space="0" w:color="auto"/>
      </w:divBdr>
    </w:div>
    <w:div w:id="1567568295">
      <w:bodyDiv w:val="1"/>
      <w:marLeft w:val="0"/>
      <w:marRight w:val="0"/>
      <w:marTop w:val="0"/>
      <w:marBottom w:val="0"/>
      <w:divBdr>
        <w:top w:val="none" w:sz="0" w:space="0" w:color="auto"/>
        <w:left w:val="none" w:sz="0" w:space="0" w:color="auto"/>
        <w:bottom w:val="none" w:sz="0" w:space="0" w:color="auto"/>
        <w:right w:val="none" w:sz="0" w:space="0" w:color="auto"/>
      </w:divBdr>
    </w:div>
    <w:div w:id="1676222114">
      <w:bodyDiv w:val="1"/>
      <w:marLeft w:val="0"/>
      <w:marRight w:val="0"/>
      <w:marTop w:val="0"/>
      <w:marBottom w:val="0"/>
      <w:divBdr>
        <w:top w:val="none" w:sz="0" w:space="0" w:color="auto"/>
        <w:left w:val="none" w:sz="0" w:space="0" w:color="auto"/>
        <w:bottom w:val="none" w:sz="0" w:space="0" w:color="auto"/>
        <w:right w:val="none" w:sz="0" w:space="0" w:color="auto"/>
      </w:divBdr>
    </w:div>
    <w:div w:id="1709839361">
      <w:bodyDiv w:val="1"/>
      <w:marLeft w:val="0"/>
      <w:marRight w:val="0"/>
      <w:marTop w:val="0"/>
      <w:marBottom w:val="0"/>
      <w:divBdr>
        <w:top w:val="none" w:sz="0" w:space="0" w:color="auto"/>
        <w:left w:val="none" w:sz="0" w:space="0" w:color="auto"/>
        <w:bottom w:val="none" w:sz="0" w:space="0" w:color="auto"/>
        <w:right w:val="none" w:sz="0" w:space="0" w:color="auto"/>
      </w:divBdr>
    </w:div>
    <w:div w:id="1790928629">
      <w:bodyDiv w:val="1"/>
      <w:marLeft w:val="0"/>
      <w:marRight w:val="0"/>
      <w:marTop w:val="0"/>
      <w:marBottom w:val="0"/>
      <w:divBdr>
        <w:top w:val="none" w:sz="0" w:space="0" w:color="auto"/>
        <w:left w:val="none" w:sz="0" w:space="0" w:color="auto"/>
        <w:bottom w:val="none" w:sz="0" w:space="0" w:color="auto"/>
        <w:right w:val="none" w:sz="0" w:space="0" w:color="auto"/>
      </w:divBdr>
    </w:div>
    <w:div w:id="1907450258">
      <w:bodyDiv w:val="1"/>
      <w:marLeft w:val="0"/>
      <w:marRight w:val="0"/>
      <w:marTop w:val="0"/>
      <w:marBottom w:val="0"/>
      <w:divBdr>
        <w:top w:val="none" w:sz="0" w:space="0" w:color="auto"/>
        <w:left w:val="none" w:sz="0" w:space="0" w:color="auto"/>
        <w:bottom w:val="none" w:sz="0" w:space="0" w:color="auto"/>
        <w:right w:val="none" w:sz="0" w:space="0" w:color="auto"/>
      </w:divBdr>
    </w:div>
    <w:div w:id="201221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873/anticanres.14664" TargetMode="External"/><Relationship Id="rId2" Type="http://schemas.openxmlformats.org/officeDocument/2006/relationships/numbering" Target="numbering.xml"/><Relationship Id="rId16" Type="http://schemas.openxmlformats.org/officeDocument/2006/relationships/hyperlink" Target="https://doi.org/10.1093/oxfordjournals.rpd.a082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16/j.ctro.2019.11.002"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8/0031-9155/55/2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FE9B-EBBC-4CD9-A784-A7E267CB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4889</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Magrin Giulio</dc:creator>
  <cp:keywords/>
  <dc:description/>
  <cp:lastModifiedBy>Magrin Giulio</cp:lastModifiedBy>
  <cp:revision>7</cp:revision>
  <dcterms:created xsi:type="dcterms:W3CDTF">2025-08-20T14:23:00Z</dcterms:created>
  <dcterms:modified xsi:type="dcterms:W3CDTF">2025-08-20T16:11:00Z</dcterms:modified>
</cp:coreProperties>
</file>